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D4D6" w14:textId="77777777" w:rsidR="0096293C" w:rsidRPr="0096293C" w:rsidRDefault="0096293C" w:rsidP="0096293C">
      <w:pPr>
        <w:keepNext/>
        <w:keepLines/>
        <w:tabs>
          <w:tab w:val="left" w:pos="0"/>
          <w:tab w:val="left" w:pos="1260"/>
          <w:tab w:val="left" w:leader="dot" w:pos="9000"/>
        </w:tabs>
        <w:spacing w:before="240" w:after="240" w:line="240" w:lineRule="auto"/>
        <w:outlineLvl w:val="0"/>
        <w:rPr>
          <w:rFonts w:ascii="Aptos" w:eastAsia="Calibri" w:hAnsi="Aptos" w:cs="Calibri"/>
          <w:b/>
          <w:strike/>
          <w:kern w:val="0"/>
          <w:sz w:val="24"/>
          <w:szCs w:val="24"/>
          <w:lang w:val="en-US"/>
          <w14:ligatures w14:val="none"/>
        </w:rPr>
      </w:pPr>
      <w:bookmarkStart w:id="0" w:name="_Toc210757722"/>
      <w:r w:rsidRPr="0096293C">
        <w:rPr>
          <w:rFonts w:ascii="Aptos" w:eastAsia="Calibri" w:hAnsi="Aptos" w:cs="Calibri"/>
          <w:b/>
          <w:kern w:val="0"/>
          <w:sz w:val="24"/>
          <w:szCs w:val="24"/>
          <w:lang w:val="en-US"/>
          <w14:ligatures w14:val="none"/>
        </w:rPr>
        <w:t>Appendix 51.3</w:t>
      </w:r>
      <w:bookmarkEnd w:id="0"/>
    </w:p>
    <w:p w14:paraId="34000D1B" w14:textId="77777777" w:rsidR="0096293C" w:rsidRPr="0096293C" w:rsidRDefault="0096293C" w:rsidP="0096293C">
      <w:pPr>
        <w:spacing w:after="0" w:line="240" w:lineRule="auto"/>
        <w:rPr>
          <w:rFonts w:ascii="Aptos" w:eastAsia="Times New Roman" w:hAnsi="Aptos" w:cs="Times New Roman"/>
          <w:kern w:val="0"/>
          <w:sz w:val="24"/>
          <w:szCs w:val="24"/>
          <w:lang w:val="en-US"/>
          <w14:ligatures w14:val="none"/>
        </w:rPr>
      </w:pPr>
      <w:r w:rsidRPr="0096293C">
        <w:rPr>
          <w:rFonts w:ascii="Aptos" w:eastAsia="Times New Roman" w:hAnsi="Aptos" w:cs="Times New Roman"/>
          <w:kern w:val="0"/>
          <w:sz w:val="24"/>
          <w:szCs w:val="24"/>
          <w:lang w:val="en-US"/>
          <w14:ligatures w14:val="none"/>
        </w:rPr>
        <w:t>LIBRARY AND ARCHIVES</w:t>
      </w:r>
      <w:r w:rsidRPr="0096293C">
        <w:rPr>
          <w:rFonts w:ascii="Aptos" w:eastAsia="Times New Roman" w:hAnsi="Aptos" w:cs="Times New Roman"/>
          <w:b/>
          <w:bCs/>
          <w:kern w:val="0"/>
          <w:sz w:val="24"/>
          <w:szCs w:val="24"/>
          <w:lang w:val="en-US"/>
          <w14:ligatures w14:val="none"/>
        </w:rPr>
        <w:t xml:space="preserve"> </w:t>
      </w:r>
      <w:r w:rsidRPr="0096293C">
        <w:rPr>
          <w:rFonts w:ascii="Aptos" w:eastAsia="Times New Roman" w:hAnsi="Aptos" w:cs="Times New Roman"/>
          <w:kern w:val="0"/>
          <w:sz w:val="24"/>
          <w:szCs w:val="24"/>
          <w:lang w:val="en-US"/>
          <w14:ligatures w14:val="none"/>
        </w:rPr>
        <w:t>REVIEW COMMITTEE PROCEDURE FORM</w:t>
      </w:r>
    </w:p>
    <w:p w14:paraId="010385ED" w14:textId="77777777" w:rsidR="0096293C" w:rsidRPr="0096293C" w:rsidRDefault="0096293C" w:rsidP="0096293C">
      <w:pPr>
        <w:spacing w:after="0" w:line="240" w:lineRule="auto"/>
        <w:rPr>
          <w:rFonts w:ascii="Aptos" w:eastAsia="Times New Roman" w:hAnsi="Aptos" w:cs="Times New Roman"/>
          <w:kern w:val="0"/>
          <w:sz w:val="24"/>
          <w:szCs w:val="24"/>
          <w:lang w:val="en-US"/>
          <w14:ligatures w14:val="none"/>
        </w:rPr>
      </w:pPr>
    </w:p>
    <w:p w14:paraId="7F3582A7" w14:textId="77777777" w:rsidR="0096293C" w:rsidRPr="0096293C" w:rsidRDefault="0096293C" w:rsidP="0096293C">
      <w:pPr>
        <w:spacing w:after="0" w:line="240" w:lineRule="auto"/>
        <w:rPr>
          <w:rFonts w:ascii="Aptos" w:eastAsia="Times New Roman" w:hAnsi="Aptos" w:cs="Times New Roman"/>
          <w:i/>
          <w:kern w:val="0"/>
          <w:sz w:val="24"/>
          <w:szCs w:val="24"/>
          <w:lang w:val="en-US"/>
          <w14:ligatures w14:val="none"/>
        </w:rPr>
      </w:pPr>
      <w:r w:rsidRPr="0096293C">
        <w:rPr>
          <w:rFonts w:ascii="Aptos" w:eastAsia="Times New Roman" w:hAnsi="Aptos" w:cs="Times New Roman"/>
          <w:kern w:val="0"/>
          <w:sz w:val="24"/>
          <w:szCs w:val="24"/>
          <w:lang w:val="en-US"/>
          <w14:ligatures w14:val="none"/>
        </w:rPr>
        <w:t xml:space="preserve">This Procedure Form is a procedural requirement intended to aid LARCs in satisfying their obligations to the URC, especially as pertaining to Article 12.31, 12.42 (b) (i) and 12.43 (b) that generally require: (12.31) </w:t>
      </w:r>
      <w:r w:rsidRPr="0096293C">
        <w:rPr>
          <w:rFonts w:ascii="Aptos" w:eastAsia="Times New Roman" w:hAnsi="Aptos" w:cs="Times New Roman"/>
          <w:i/>
          <w:kern w:val="0"/>
          <w:sz w:val="24"/>
          <w:szCs w:val="24"/>
          <w:lang w:val="en-US"/>
          <w14:ligatures w14:val="none"/>
        </w:rPr>
        <w:t>“that the LARC has followed proper procedure, has used the appropriate criteria and qualifications, as identified in the table below, and that the criteria are applied consistently across the Academic Units.”</w:t>
      </w:r>
    </w:p>
    <w:p w14:paraId="42E22B4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2675"/>
      </w:tblGrid>
      <w:tr w:rsidR="0096293C" w:rsidRPr="0096293C" w14:paraId="40C742EA" w14:textId="77777777" w:rsidTr="005B3942">
        <w:tc>
          <w:tcPr>
            <w:tcW w:w="2410" w:type="dxa"/>
          </w:tcPr>
          <w:p w14:paraId="79A3AD8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701" w:type="dxa"/>
          </w:tcPr>
          <w:p w14:paraId="17458A6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Procedure</w:t>
            </w:r>
          </w:p>
        </w:tc>
        <w:tc>
          <w:tcPr>
            <w:tcW w:w="2675" w:type="dxa"/>
          </w:tcPr>
          <w:p w14:paraId="61DB9A9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Criteria and Qualifications</w:t>
            </w:r>
          </w:p>
        </w:tc>
      </w:tr>
      <w:tr w:rsidR="0096293C" w:rsidRPr="0096293C" w14:paraId="7D93E5F9" w14:textId="77777777" w:rsidTr="005B3942">
        <w:tc>
          <w:tcPr>
            <w:tcW w:w="2410" w:type="dxa"/>
          </w:tcPr>
          <w:p w14:paraId="375EE89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Librarians and Archivists</w:t>
            </w:r>
          </w:p>
        </w:tc>
        <w:tc>
          <w:tcPr>
            <w:tcW w:w="1701" w:type="dxa"/>
          </w:tcPr>
          <w:p w14:paraId="4F0DE40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51.10 and 51.20</w:t>
            </w:r>
          </w:p>
        </w:tc>
        <w:tc>
          <w:tcPr>
            <w:tcW w:w="2675" w:type="dxa"/>
          </w:tcPr>
          <w:p w14:paraId="62F21EC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51.80 and 51.90</w:t>
            </w:r>
          </w:p>
        </w:tc>
      </w:tr>
    </w:tbl>
    <w:p w14:paraId="2DEA834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p w14:paraId="18BC3F4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Procedure Form is subject to the terms and conditions of the Collective Agreement which take precedence over the Procedures Form. If any part of the Procedure Form is at variance with the terms and conditions of the Agreement, the Procedure Form shall stand corrected by those terms and conditions.</w:t>
      </w:r>
    </w:p>
    <w:p w14:paraId="08D5190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p w14:paraId="722E1A40"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w:t>
      </w:r>
      <w:r w:rsidRPr="0096293C">
        <w:rPr>
          <w:rFonts w:ascii="Aptos" w:eastAsia="Calibri" w:hAnsi="Aptos" w:cs="Arial"/>
          <w:kern w:val="0"/>
          <w:sz w:val="24"/>
          <w:szCs w:val="24"/>
          <w:lang w:val="en-US"/>
          <w14:ligatures w14:val="none"/>
        </w:rPr>
        <w:tab/>
        <w:t>__________________________________________________</w:t>
      </w:r>
    </w:p>
    <w:p w14:paraId="6DB1FAFD"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Application:</w:t>
      </w:r>
      <w:r w:rsidRPr="0096293C">
        <w:rPr>
          <w:rFonts w:ascii="Aptos" w:eastAsia="Calibri" w:hAnsi="Aptos" w:cs="Arial"/>
          <w:kern w:val="0"/>
          <w:sz w:val="24"/>
          <w:szCs w:val="24"/>
          <w:lang w:val="en-US"/>
          <w14:ligatures w14:val="none"/>
        </w:rPr>
        <w:tab/>
        <w:t>__________________________________________________</w:t>
      </w:r>
    </w:p>
    <w:p w14:paraId="5FF6B1EC" w14:textId="77777777" w:rsidR="0096293C" w:rsidRPr="0096293C" w:rsidRDefault="0096293C" w:rsidP="0096293C">
      <w:pPr>
        <w:tabs>
          <w:tab w:val="left" w:pos="3420"/>
        </w:tabs>
        <w:spacing w:after="0" w:line="240" w:lineRule="auto"/>
        <w:ind w:left="3420" w:hanging="2286"/>
        <w:rPr>
          <w:rFonts w:ascii="Aptos" w:eastAsia="Calibri" w:hAnsi="Aptos" w:cs="Arial"/>
          <w:kern w:val="0"/>
          <w:sz w:val="24"/>
          <w:szCs w:val="24"/>
          <w:lang w:val="en-US"/>
          <w14:ligatures w14:val="none"/>
        </w:rPr>
      </w:pPr>
    </w:p>
    <w:p w14:paraId="161487E0"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Members of LARC:</w:t>
      </w:r>
      <w:r w:rsidRPr="0096293C">
        <w:rPr>
          <w:rFonts w:ascii="Aptos" w:eastAsia="Calibri" w:hAnsi="Aptos" w:cs="Arial"/>
          <w:kern w:val="0"/>
          <w:sz w:val="24"/>
          <w:szCs w:val="24"/>
          <w:lang w:val="en-US"/>
          <w14:ligatures w14:val="none"/>
        </w:rPr>
        <w:tab/>
      </w:r>
    </w:p>
    <w:p w14:paraId="2CAD4763"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Dean/Replacement</w:t>
      </w:r>
      <w:r w:rsidRPr="0096293C">
        <w:rPr>
          <w:rFonts w:ascii="Aptos" w:eastAsia="Calibri" w:hAnsi="Aptos" w:cs="Arial"/>
          <w:kern w:val="0"/>
          <w:sz w:val="24"/>
          <w:szCs w:val="24"/>
          <w:lang w:val="en-US"/>
          <w14:ligatures w14:val="none"/>
        </w:rPr>
        <w:tab/>
        <w:t>__________________________________________________</w:t>
      </w:r>
    </w:p>
    <w:p w14:paraId="0E985E7C" w14:textId="77777777" w:rsidR="0096293C" w:rsidRPr="0096293C" w:rsidRDefault="0096293C" w:rsidP="0096293C">
      <w:pPr>
        <w:tabs>
          <w:tab w:val="left" w:pos="3060"/>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Head/Replacement</w:t>
      </w:r>
      <w:r w:rsidRPr="0096293C">
        <w:rPr>
          <w:rFonts w:ascii="Aptos" w:eastAsia="Calibri" w:hAnsi="Aptos" w:cs="Arial"/>
          <w:kern w:val="0"/>
          <w:sz w:val="24"/>
          <w:szCs w:val="24"/>
          <w:lang w:val="en-US"/>
          <w14:ligatures w14:val="none"/>
        </w:rPr>
        <w:tab/>
      </w:r>
      <w:r w:rsidRPr="0096293C">
        <w:rPr>
          <w:rFonts w:ascii="Aptos" w:eastAsia="Calibri" w:hAnsi="Aptos" w:cs="Arial"/>
          <w:kern w:val="0"/>
          <w:sz w:val="24"/>
          <w:szCs w:val="24"/>
          <w:lang w:val="en-US"/>
          <w14:ligatures w14:val="none"/>
        </w:rPr>
        <w:tab/>
        <w:t>__________________________________________________</w:t>
      </w:r>
    </w:p>
    <w:p w14:paraId="066D7366"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Cognate</w:t>
      </w:r>
      <w:r w:rsidRPr="0096293C">
        <w:rPr>
          <w:rFonts w:ascii="Aptos" w:eastAsia="Calibri" w:hAnsi="Aptos" w:cs="Arial"/>
          <w:kern w:val="0"/>
          <w:sz w:val="24"/>
          <w:szCs w:val="24"/>
          <w:lang w:val="en-US"/>
          <w14:ligatures w14:val="none"/>
        </w:rPr>
        <w:tab/>
        <w:t>__________________________________________________</w:t>
      </w:r>
    </w:p>
    <w:p w14:paraId="2FF0B3F2"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Dept. Member/Cognate</w:t>
      </w:r>
      <w:r w:rsidRPr="0096293C">
        <w:rPr>
          <w:rFonts w:ascii="Aptos" w:eastAsia="Calibri" w:hAnsi="Aptos" w:cs="Arial"/>
          <w:kern w:val="0"/>
          <w:sz w:val="24"/>
          <w:szCs w:val="24"/>
          <w:lang w:val="en-US"/>
          <w14:ligatures w14:val="none"/>
        </w:rPr>
        <w:tab/>
        <w:t>________________________________________________</w:t>
      </w:r>
    </w:p>
    <w:p w14:paraId="403424FA"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Dept. Member/Cognate </w:t>
      </w:r>
      <w:r w:rsidRPr="0096293C">
        <w:rPr>
          <w:rFonts w:ascii="Aptos" w:eastAsia="Calibri" w:hAnsi="Aptos" w:cs="Arial"/>
          <w:kern w:val="0"/>
          <w:sz w:val="24"/>
          <w:szCs w:val="24"/>
          <w:lang w:val="en-US"/>
          <w14:ligatures w14:val="none"/>
        </w:rPr>
        <w:tab/>
        <w:t>________________________________________________</w:t>
      </w:r>
    </w:p>
    <w:p w14:paraId="2B7B7166" w14:textId="77777777" w:rsidR="0096293C" w:rsidRPr="0096293C" w:rsidRDefault="0096293C" w:rsidP="0096293C">
      <w:pPr>
        <w:tabs>
          <w:tab w:val="left" w:pos="342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Dept. Member/Cognate </w:t>
      </w:r>
      <w:r w:rsidRPr="0096293C">
        <w:rPr>
          <w:rFonts w:ascii="Aptos" w:eastAsia="Calibri" w:hAnsi="Aptos" w:cs="Arial"/>
          <w:kern w:val="0"/>
          <w:sz w:val="24"/>
          <w:szCs w:val="24"/>
          <w:lang w:val="en-US"/>
          <w14:ligatures w14:val="none"/>
        </w:rPr>
        <w:tab/>
        <w:t>__________________________________________________</w:t>
      </w:r>
    </w:p>
    <w:p w14:paraId="39BA231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p w14:paraId="34E0ABF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Enter Y (Yes), N (No), or N/A (Not Applicable) in the left column as appropriate.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1252"/>
        <w:gridCol w:w="7654"/>
      </w:tblGrid>
      <w:tr w:rsidR="0096293C" w:rsidRPr="0096293C" w14:paraId="6E008066" w14:textId="77777777" w:rsidTr="005B3942">
        <w:tc>
          <w:tcPr>
            <w:tcW w:w="9350" w:type="dxa"/>
            <w:gridSpan w:val="3"/>
          </w:tcPr>
          <w:p w14:paraId="2A327D5F"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Procedures</w:t>
            </w:r>
          </w:p>
        </w:tc>
      </w:tr>
      <w:tr w:rsidR="0096293C" w:rsidRPr="0096293C" w14:paraId="701B9C03" w14:textId="77777777" w:rsidTr="005B3942">
        <w:tc>
          <w:tcPr>
            <w:tcW w:w="444" w:type="dxa"/>
          </w:tcPr>
          <w:p w14:paraId="244AAF8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03DC70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51.10,</w:t>
            </w:r>
          </w:p>
          <w:p w14:paraId="3D086B3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(b)</w:t>
            </w:r>
          </w:p>
        </w:tc>
        <w:tc>
          <w:tcPr>
            <w:tcW w:w="7654" w:type="dxa"/>
          </w:tcPr>
          <w:p w14:paraId="0705445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This LARC was properly constituted.</w:t>
            </w:r>
          </w:p>
        </w:tc>
      </w:tr>
      <w:tr w:rsidR="0096293C" w:rsidRPr="0096293C" w14:paraId="1AA66C0A" w14:textId="77777777" w:rsidTr="005B3942">
        <w:tc>
          <w:tcPr>
            <w:tcW w:w="444" w:type="dxa"/>
          </w:tcPr>
          <w:p w14:paraId="6E3D1A3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922DAC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(b)</w:t>
            </w:r>
          </w:p>
        </w:tc>
        <w:tc>
          <w:tcPr>
            <w:tcW w:w="7654" w:type="dxa"/>
          </w:tcPr>
          <w:p w14:paraId="09303D2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Candidate’s application is complete.</w:t>
            </w:r>
          </w:p>
        </w:tc>
      </w:tr>
      <w:tr w:rsidR="0096293C" w:rsidRPr="0096293C" w14:paraId="3D6CF7EC" w14:textId="77777777" w:rsidTr="005B3942">
        <w:tc>
          <w:tcPr>
            <w:tcW w:w="444" w:type="dxa"/>
          </w:tcPr>
          <w:p w14:paraId="7D8B8CE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DAA635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(b)</w:t>
            </w:r>
          </w:p>
        </w:tc>
        <w:tc>
          <w:tcPr>
            <w:tcW w:w="7654" w:type="dxa"/>
          </w:tcPr>
          <w:p w14:paraId="3CB3165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 was given 5 working days to resubmit if incomplete.</w:t>
            </w:r>
          </w:p>
        </w:tc>
      </w:tr>
      <w:tr w:rsidR="0096293C" w:rsidRPr="0096293C" w14:paraId="70A99D77" w14:textId="77777777" w:rsidTr="005B3942">
        <w:tc>
          <w:tcPr>
            <w:tcW w:w="444" w:type="dxa"/>
          </w:tcPr>
          <w:p w14:paraId="186FFD4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B54D09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(c)</w:t>
            </w:r>
          </w:p>
        </w:tc>
        <w:tc>
          <w:tcPr>
            <w:tcW w:w="7654" w:type="dxa"/>
          </w:tcPr>
          <w:p w14:paraId="1FD2AFA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Eligible members of the Sector were invited to submit their views in writing on the suitability of the </w:t>
            </w:r>
            <w:proofErr w:type="gramStart"/>
            <w:r w:rsidRPr="0096293C">
              <w:rPr>
                <w:rFonts w:ascii="Aptos" w:eastAsia="Calibri" w:hAnsi="Aptos" w:cs="Arial"/>
                <w:kern w:val="0"/>
                <w:sz w:val="24"/>
                <w:szCs w:val="24"/>
                <w:lang w:val="en-US"/>
                <w14:ligatures w14:val="none"/>
              </w:rPr>
              <w:t>application,</w:t>
            </w:r>
            <w:proofErr w:type="gramEnd"/>
            <w:r w:rsidRPr="0096293C">
              <w:rPr>
                <w:rFonts w:ascii="Aptos" w:eastAsia="Calibri" w:hAnsi="Aptos" w:cs="Arial"/>
                <w:kern w:val="0"/>
                <w:sz w:val="24"/>
                <w:szCs w:val="24"/>
                <w:lang w:val="en-US"/>
                <w14:ligatures w14:val="none"/>
              </w:rPr>
              <w:t xml:space="preserve"> </w:t>
            </w:r>
            <w:proofErr w:type="gramStart"/>
            <w:r w:rsidRPr="0096293C">
              <w:rPr>
                <w:rFonts w:ascii="Aptos" w:eastAsia="Calibri" w:hAnsi="Aptos" w:cs="Arial"/>
                <w:kern w:val="0"/>
                <w:sz w:val="24"/>
                <w:szCs w:val="24"/>
                <w:lang w:val="en-US"/>
                <w14:ligatures w14:val="none"/>
              </w:rPr>
              <w:t>when dossier</w:t>
            </w:r>
            <w:proofErr w:type="gramEnd"/>
            <w:r w:rsidRPr="0096293C">
              <w:rPr>
                <w:rFonts w:ascii="Aptos" w:eastAsia="Calibri" w:hAnsi="Aptos" w:cs="Arial"/>
                <w:kern w:val="0"/>
                <w:sz w:val="24"/>
                <w:szCs w:val="24"/>
                <w:lang w:val="en-US"/>
                <w14:ligatures w14:val="none"/>
              </w:rPr>
              <w:t xml:space="preserve"> complete.</w:t>
            </w:r>
          </w:p>
        </w:tc>
      </w:tr>
      <w:tr w:rsidR="0096293C" w:rsidRPr="0096293C" w14:paraId="05C8DC41" w14:textId="77777777" w:rsidTr="005B3942">
        <w:tc>
          <w:tcPr>
            <w:tcW w:w="444" w:type="dxa"/>
          </w:tcPr>
          <w:p w14:paraId="360ACB7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572CDAD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(d)</w:t>
            </w:r>
          </w:p>
        </w:tc>
        <w:tc>
          <w:tcPr>
            <w:tcW w:w="7654" w:type="dxa"/>
          </w:tcPr>
          <w:p w14:paraId="6ED53E6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 had 3 working days to see any additions to the dossier before meeting with the LARC.</w:t>
            </w:r>
          </w:p>
        </w:tc>
      </w:tr>
      <w:tr w:rsidR="0096293C" w:rsidRPr="0096293C" w14:paraId="6CF0987A" w14:textId="77777777" w:rsidTr="005B3942">
        <w:tc>
          <w:tcPr>
            <w:tcW w:w="444" w:type="dxa"/>
          </w:tcPr>
          <w:p w14:paraId="05B65873"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F6BD50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(e)</w:t>
            </w:r>
          </w:p>
        </w:tc>
        <w:tc>
          <w:tcPr>
            <w:tcW w:w="7654" w:type="dxa"/>
          </w:tcPr>
          <w:p w14:paraId="26D8F9B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 was invited to a meeting to discuss contents of the dossier.</w:t>
            </w:r>
          </w:p>
        </w:tc>
      </w:tr>
      <w:tr w:rsidR="0096293C" w:rsidRPr="0096293C" w14:paraId="139A71F4" w14:textId="77777777" w:rsidTr="005B3942">
        <w:tc>
          <w:tcPr>
            <w:tcW w:w="444" w:type="dxa"/>
          </w:tcPr>
          <w:p w14:paraId="6516669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276AD32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(e)</w:t>
            </w:r>
          </w:p>
        </w:tc>
        <w:tc>
          <w:tcPr>
            <w:tcW w:w="7654" w:type="dxa"/>
          </w:tcPr>
          <w:p w14:paraId="483425C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 chose to be present at the meeting.</w:t>
            </w:r>
          </w:p>
        </w:tc>
      </w:tr>
      <w:tr w:rsidR="0096293C" w:rsidRPr="0096293C" w14:paraId="57571B28" w14:textId="77777777" w:rsidTr="005B3942">
        <w:tc>
          <w:tcPr>
            <w:tcW w:w="444" w:type="dxa"/>
          </w:tcPr>
          <w:p w14:paraId="271260A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0711C2C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(e)</w:t>
            </w:r>
          </w:p>
        </w:tc>
        <w:tc>
          <w:tcPr>
            <w:tcW w:w="7654" w:type="dxa"/>
          </w:tcPr>
          <w:p w14:paraId="4F6B02C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Candidate chose to be accompanied by an </w:t>
            </w:r>
            <w:proofErr w:type="gramStart"/>
            <w:r w:rsidRPr="0096293C">
              <w:rPr>
                <w:rFonts w:ascii="Aptos" w:eastAsia="Calibri" w:hAnsi="Aptos" w:cs="Arial"/>
                <w:kern w:val="0"/>
                <w:sz w:val="24"/>
                <w:szCs w:val="24"/>
                <w:lang w:val="en-US"/>
                <w14:ligatures w14:val="none"/>
              </w:rPr>
              <w:t>Employee</w:t>
            </w:r>
            <w:proofErr w:type="gramEnd"/>
            <w:r w:rsidRPr="0096293C">
              <w:rPr>
                <w:rFonts w:ascii="Aptos" w:eastAsia="Calibri" w:hAnsi="Aptos" w:cs="Arial"/>
                <w:kern w:val="0"/>
                <w:sz w:val="24"/>
                <w:szCs w:val="24"/>
                <w:lang w:val="en-US"/>
                <w14:ligatures w14:val="none"/>
              </w:rPr>
              <w:t xml:space="preserve"> advocate.</w:t>
            </w:r>
          </w:p>
        </w:tc>
      </w:tr>
      <w:tr w:rsidR="0096293C" w:rsidRPr="0096293C" w14:paraId="4425E9F3" w14:textId="77777777" w:rsidTr="005B3942">
        <w:tc>
          <w:tcPr>
            <w:tcW w:w="444" w:type="dxa"/>
          </w:tcPr>
          <w:p w14:paraId="43B9BF9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47F72F6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(f)</w:t>
            </w:r>
          </w:p>
        </w:tc>
        <w:tc>
          <w:tcPr>
            <w:tcW w:w="7654" w:type="dxa"/>
          </w:tcPr>
          <w:p w14:paraId="70E2B42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 was given the opportunity to respond to concerns about the dossier.</w:t>
            </w:r>
          </w:p>
        </w:tc>
      </w:tr>
      <w:tr w:rsidR="0096293C" w:rsidRPr="0096293C" w14:paraId="516A774E" w14:textId="77777777" w:rsidTr="005B3942">
        <w:tc>
          <w:tcPr>
            <w:tcW w:w="444" w:type="dxa"/>
          </w:tcPr>
          <w:p w14:paraId="7D8CE883"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21C0F69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(e)</w:t>
            </w:r>
          </w:p>
        </w:tc>
        <w:tc>
          <w:tcPr>
            <w:tcW w:w="7654" w:type="dxa"/>
          </w:tcPr>
          <w:p w14:paraId="02C16C7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considered its decisions in camera.</w:t>
            </w:r>
          </w:p>
        </w:tc>
      </w:tr>
      <w:tr w:rsidR="0096293C" w:rsidRPr="0096293C" w14:paraId="76328999" w14:textId="77777777" w:rsidTr="005B3942">
        <w:tc>
          <w:tcPr>
            <w:tcW w:w="444" w:type="dxa"/>
          </w:tcPr>
          <w:p w14:paraId="7C6FCB0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7CC6DE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(a)</w:t>
            </w:r>
          </w:p>
        </w:tc>
        <w:tc>
          <w:tcPr>
            <w:tcW w:w="7654" w:type="dxa"/>
          </w:tcPr>
          <w:p w14:paraId="28A2520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rendered its decision without considering anonymous material, as defined in Article 1.05.</w:t>
            </w:r>
          </w:p>
        </w:tc>
      </w:tr>
      <w:tr w:rsidR="0096293C" w:rsidRPr="0096293C" w14:paraId="07CA0952" w14:textId="77777777" w:rsidTr="005B3942">
        <w:tc>
          <w:tcPr>
            <w:tcW w:w="444" w:type="dxa"/>
          </w:tcPr>
          <w:p w14:paraId="0BD59A5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C8F84E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51.24</w:t>
            </w:r>
          </w:p>
        </w:tc>
        <w:tc>
          <w:tcPr>
            <w:tcW w:w="7654" w:type="dxa"/>
          </w:tcPr>
          <w:p w14:paraId="48EB593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considered only material within the candidate’s dossier (including that added by 51.22) when rendering its decision.</w:t>
            </w:r>
          </w:p>
        </w:tc>
      </w:tr>
      <w:tr w:rsidR="0096293C" w:rsidRPr="0096293C" w14:paraId="3F4549FD" w14:textId="77777777" w:rsidTr="005B3942">
        <w:tc>
          <w:tcPr>
            <w:tcW w:w="444" w:type="dxa"/>
          </w:tcPr>
          <w:p w14:paraId="6CD431B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2383B8F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51.22 (g)</w:t>
            </w:r>
          </w:p>
        </w:tc>
        <w:tc>
          <w:tcPr>
            <w:tcW w:w="7654" w:type="dxa"/>
          </w:tcPr>
          <w:p w14:paraId="0F5B5E8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based its decision on the contents of the candidate’s dossier and the terms and conditions of the Collective Agreement.</w:t>
            </w:r>
          </w:p>
        </w:tc>
      </w:tr>
      <w:tr w:rsidR="0096293C" w:rsidRPr="0096293C" w14:paraId="49AA93E2" w14:textId="77777777" w:rsidTr="005B3942">
        <w:tc>
          <w:tcPr>
            <w:tcW w:w="444" w:type="dxa"/>
          </w:tcPr>
          <w:p w14:paraId="6034418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4FC3CBD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51.25</w:t>
            </w:r>
          </w:p>
        </w:tc>
        <w:tc>
          <w:tcPr>
            <w:tcW w:w="7654" w:type="dxa"/>
          </w:tcPr>
          <w:p w14:paraId="256FB61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decided its decision by simple majority.</w:t>
            </w:r>
          </w:p>
        </w:tc>
      </w:tr>
      <w:tr w:rsidR="0096293C" w:rsidRPr="0096293C" w14:paraId="5ACC8C89" w14:textId="77777777" w:rsidTr="005B3942">
        <w:tc>
          <w:tcPr>
            <w:tcW w:w="444" w:type="dxa"/>
          </w:tcPr>
          <w:p w14:paraId="2FF8300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5F5737B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51.26</w:t>
            </w:r>
          </w:p>
        </w:tc>
        <w:tc>
          <w:tcPr>
            <w:tcW w:w="7654" w:type="dxa"/>
          </w:tcPr>
          <w:p w14:paraId="3002142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LARC sent an initial Decision Letter (DL) to the candidate at least 5 working days before LARC forwarded </w:t>
            </w:r>
            <w:proofErr w:type="gramStart"/>
            <w:r w:rsidRPr="0096293C">
              <w:rPr>
                <w:rFonts w:ascii="Aptos" w:eastAsia="Calibri" w:hAnsi="Aptos" w:cs="Arial"/>
                <w:kern w:val="0"/>
                <w:sz w:val="24"/>
                <w:szCs w:val="24"/>
                <w:lang w:val="en-US"/>
                <w14:ligatures w14:val="none"/>
              </w:rPr>
              <w:t>it</w:t>
            </w:r>
            <w:proofErr w:type="gramEnd"/>
            <w:r w:rsidRPr="0096293C">
              <w:rPr>
                <w:rFonts w:ascii="Aptos" w:eastAsia="Calibri" w:hAnsi="Aptos" w:cs="Arial"/>
                <w:kern w:val="0"/>
                <w:sz w:val="24"/>
                <w:szCs w:val="24"/>
                <w:lang w:val="en-US"/>
                <w14:ligatures w14:val="none"/>
              </w:rPr>
              <w:t xml:space="preserve"> decision to the URC.</w:t>
            </w:r>
          </w:p>
        </w:tc>
      </w:tr>
      <w:tr w:rsidR="0096293C" w:rsidRPr="0096293C" w14:paraId="4652D862" w14:textId="77777777" w:rsidTr="005B3942">
        <w:tc>
          <w:tcPr>
            <w:tcW w:w="444" w:type="dxa"/>
          </w:tcPr>
          <w:p w14:paraId="7438589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0AB2CC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51.26</w:t>
            </w:r>
          </w:p>
        </w:tc>
        <w:tc>
          <w:tcPr>
            <w:tcW w:w="7654" w:type="dxa"/>
          </w:tcPr>
          <w:p w14:paraId="31E2012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Initial DL recorded the LARC’s decision and summarized views expressed by members of LARC both for and against the decision.</w:t>
            </w:r>
          </w:p>
        </w:tc>
      </w:tr>
      <w:tr w:rsidR="0096293C" w:rsidRPr="0096293C" w14:paraId="26681156" w14:textId="77777777" w:rsidTr="005B3942">
        <w:tc>
          <w:tcPr>
            <w:tcW w:w="444" w:type="dxa"/>
          </w:tcPr>
          <w:p w14:paraId="73440FA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51A452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51.26</w:t>
            </w:r>
          </w:p>
        </w:tc>
        <w:tc>
          <w:tcPr>
            <w:tcW w:w="7654" w:type="dxa"/>
          </w:tcPr>
          <w:p w14:paraId="2BDBB2D3"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Candidate had 5 working days to reply to the initial DL to correct errors of fact before LARC forwarded its decision to URC.</w:t>
            </w:r>
          </w:p>
        </w:tc>
      </w:tr>
      <w:tr w:rsidR="0096293C" w:rsidRPr="0096293C" w14:paraId="52188DAE" w14:textId="77777777" w:rsidTr="005B3942">
        <w:tc>
          <w:tcPr>
            <w:tcW w:w="444" w:type="dxa"/>
          </w:tcPr>
          <w:p w14:paraId="016DCB1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C13EED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51.26</w:t>
            </w:r>
          </w:p>
        </w:tc>
        <w:tc>
          <w:tcPr>
            <w:tcW w:w="7654" w:type="dxa"/>
          </w:tcPr>
          <w:p w14:paraId="53BE99A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LARC revised the DL, if necessary, before </w:t>
            </w:r>
            <w:proofErr w:type="gramStart"/>
            <w:r w:rsidRPr="0096293C">
              <w:rPr>
                <w:rFonts w:ascii="Aptos" w:eastAsia="Calibri" w:hAnsi="Aptos" w:cs="Arial"/>
                <w:kern w:val="0"/>
                <w:sz w:val="24"/>
                <w:szCs w:val="24"/>
                <w:lang w:val="en-US"/>
                <w14:ligatures w14:val="none"/>
              </w:rPr>
              <w:t>forwarding</w:t>
            </w:r>
            <w:proofErr w:type="gramEnd"/>
            <w:r w:rsidRPr="0096293C">
              <w:rPr>
                <w:rFonts w:ascii="Aptos" w:eastAsia="Calibri" w:hAnsi="Aptos" w:cs="Arial"/>
                <w:kern w:val="0"/>
                <w:sz w:val="24"/>
                <w:szCs w:val="24"/>
                <w:lang w:val="en-US"/>
                <w14:ligatures w14:val="none"/>
              </w:rPr>
              <w:t xml:space="preserve"> to URC. </w:t>
            </w:r>
          </w:p>
        </w:tc>
      </w:tr>
      <w:tr w:rsidR="0096293C" w:rsidRPr="0096293C" w14:paraId="6AB99C28" w14:textId="77777777" w:rsidTr="005B3942">
        <w:tc>
          <w:tcPr>
            <w:tcW w:w="444" w:type="dxa"/>
          </w:tcPr>
          <w:p w14:paraId="13001E0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068D003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51.26</w:t>
            </w:r>
          </w:p>
        </w:tc>
        <w:tc>
          <w:tcPr>
            <w:tcW w:w="7654" w:type="dxa"/>
          </w:tcPr>
          <w:p w14:paraId="6A4EC3C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copied its DL to the candidate.</w:t>
            </w:r>
          </w:p>
        </w:tc>
      </w:tr>
      <w:tr w:rsidR="0096293C" w:rsidRPr="0096293C" w14:paraId="30A6E8A6" w14:textId="77777777" w:rsidTr="005B3942">
        <w:tc>
          <w:tcPr>
            <w:tcW w:w="444" w:type="dxa"/>
          </w:tcPr>
          <w:p w14:paraId="6DA895D3"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7788C40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51.26</w:t>
            </w:r>
          </w:p>
        </w:tc>
        <w:tc>
          <w:tcPr>
            <w:tcW w:w="7654" w:type="dxa"/>
          </w:tcPr>
          <w:p w14:paraId="54D5FF1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LARC advised </w:t>
            </w:r>
            <w:proofErr w:type="gramStart"/>
            <w:r w:rsidRPr="0096293C">
              <w:rPr>
                <w:rFonts w:ascii="Aptos" w:eastAsia="Calibri" w:hAnsi="Aptos" w:cs="Arial"/>
                <w:kern w:val="0"/>
                <w:sz w:val="24"/>
                <w:szCs w:val="24"/>
                <w:lang w:val="en-US"/>
                <w14:ligatures w14:val="none"/>
              </w:rPr>
              <w:t>candidate</w:t>
            </w:r>
            <w:proofErr w:type="gramEnd"/>
            <w:r w:rsidRPr="0096293C">
              <w:rPr>
                <w:rFonts w:ascii="Aptos" w:eastAsia="Calibri" w:hAnsi="Aptos" w:cs="Arial"/>
                <w:kern w:val="0"/>
                <w:sz w:val="24"/>
                <w:szCs w:val="24"/>
                <w:lang w:val="en-US"/>
                <w14:ligatures w14:val="none"/>
              </w:rPr>
              <w:t xml:space="preserve"> </w:t>
            </w:r>
            <w:proofErr w:type="gramStart"/>
            <w:r w:rsidRPr="0096293C">
              <w:rPr>
                <w:rFonts w:ascii="Aptos" w:eastAsia="Calibri" w:hAnsi="Aptos" w:cs="Arial"/>
                <w:kern w:val="0"/>
                <w:sz w:val="24"/>
                <w:szCs w:val="24"/>
                <w:lang w:val="en-US"/>
                <w14:ligatures w14:val="none"/>
              </w:rPr>
              <w:t>of</w:t>
            </w:r>
            <w:proofErr w:type="gramEnd"/>
            <w:r w:rsidRPr="0096293C">
              <w:rPr>
                <w:rFonts w:ascii="Aptos" w:eastAsia="Calibri" w:hAnsi="Aptos" w:cs="Arial"/>
                <w:kern w:val="0"/>
                <w:sz w:val="24"/>
                <w:szCs w:val="24"/>
                <w:lang w:val="en-CA"/>
                <w14:ligatures w14:val="none"/>
              </w:rPr>
              <w:t xml:space="preserve"> </w:t>
            </w:r>
            <w:proofErr w:type="gramStart"/>
            <w:r w:rsidRPr="0096293C">
              <w:rPr>
                <w:rFonts w:ascii="Aptos" w:eastAsia="Calibri" w:hAnsi="Aptos" w:cs="Arial"/>
                <w:kern w:val="0"/>
                <w:sz w:val="24"/>
                <w:szCs w:val="24"/>
                <w:lang w:val="en-CA"/>
                <w14:ligatures w14:val="none"/>
              </w:rPr>
              <w:t>their</w:t>
            </w:r>
            <w:proofErr w:type="gramEnd"/>
            <w:r w:rsidRPr="0096293C">
              <w:rPr>
                <w:rFonts w:ascii="Aptos" w:eastAsia="Calibri" w:hAnsi="Aptos" w:cs="Arial"/>
                <w:kern w:val="0"/>
                <w:sz w:val="24"/>
                <w:szCs w:val="24"/>
                <w:lang w:val="en-US"/>
                <w14:ligatures w14:val="none"/>
              </w:rPr>
              <w:t xml:space="preserve"> right to write to the URC at this time.</w:t>
            </w:r>
          </w:p>
        </w:tc>
      </w:tr>
      <w:tr w:rsidR="0096293C" w:rsidRPr="0096293C" w14:paraId="11CBE440" w14:textId="77777777" w:rsidTr="005B3942">
        <w:tc>
          <w:tcPr>
            <w:tcW w:w="9350" w:type="dxa"/>
            <w:gridSpan w:val="3"/>
          </w:tcPr>
          <w:p w14:paraId="0E37E7FF"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Responsibilities to URC</w:t>
            </w:r>
          </w:p>
        </w:tc>
      </w:tr>
      <w:tr w:rsidR="0096293C" w:rsidRPr="0096293C" w14:paraId="4F85E6E9" w14:textId="77777777" w:rsidTr="005B3942">
        <w:tc>
          <w:tcPr>
            <w:tcW w:w="444" w:type="dxa"/>
          </w:tcPr>
          <w:p w14:paraId="5600311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067D78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12.31</w:t>
            </w:r>
          </w:p>
        </w:tc>
        <w:tc>
          <w:tcPr>
            <w:tcW w:w="7654" w:type="dxa"/>
          </w:tcPr>
          <w:p w14:paraId="0AC5562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demonstrates LARC’s decisions adhere to criteria and qualification of 51.80 and 51.90.</w:t>
            </w:r>
          </w:p>
        </w:tc>
      </w:tr>
      <w:tr w:rsidR="0096293C" w:rsidRPr="0096293C" w14:paraId="6E6E96F9" w14:textId="77777777" w:rsidTr="005B3942">
        <w:tc>
          <w:tcPr>
            <w:tcW w:w="444" w:type="dxa"/>
          </w:tcPr>
          <w:p w14:paraId="5EF857F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7853074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12.31</w:t>
            </w:r>
          </w:p>
        </w:tc>
        <w:tc>
          <w:tcPr>
            <w:tcW w:w="7654" w:type="dxa"/>
          </w:tcPr>
          <w:p w14:paraId="244B0E4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LARC provides information sufficient for considerations of URC in 12.42 (b) (i) and 12.43 (b).</w:t>
            </w:r>
          </w:p>
        </w:tc>
      </w:tr>
      <w:tr w:rsidR="0096293C" w:rsidRPr="0096293C" w14:paraId="310A077C" w14:textId="77777777" w:rsidTr="005B3942">
        <w:tc>
          <w:tcPr>
            <w:tcW w:w="444" w:type="dxa"/>
          </w:tcPr>
          <w:p w14:paraId="23A2B39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3D149E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51.27</w:t>
            </w:r>
          </w:p>
        </w:tc>
        <w:tc>
          <w:tcPr>
            <w:tcW w:w="7654" w:type="dxa"/>
          </w:tcPr>
          <w:p w14:paraId="7F0D01C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Secretary of the LARC forwarded minutes of its meetings and the candidate’s dossier and the signed LARC procedure form to the Chair of the URC.</w:t>
            </w:r>
          </w:p>
        </w:tc>
      </w:tr>
      <w:tr w:rsidR="0096293C" w:rsidRPr="0096293C" w14:paraId="3FC798D8" w14:textId="77777777" w:rsidTr="005B3942">
        <w:tc>
          <w:tcPr>
            <w:tcW w:w="9350" w:type="dxa"/>
            <w:gridSpan w:val="3"/>
          </w:tcPr>
          <w:p w14:paraId="68CDF1F1"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Checklist A: Candidate’s Dossier</w:t>
            </w:r>
          </w:p>
        </w:tc>
      </w:tr>
      <w:tr w:rsidR="0096293C" w:rsidRPr="0096293C" w14:paraId="28814C13" w14:textId="77777777" w:rsidTr="005B3942">
        <w:tc>
          <w:tcPr>
            <w:tcW w:w="444" w:type="dxa"/>
          </w:tcPr>
          <w:p w14:paraId="673F7EB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09EC3F8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(f)</w:t>
            </w:r>
          </w:p>
        </w:tc>
        <w:tc>
          <w:tcPr>
            <w:tcW w:w="7654" w:type="dxa"/>
          </w:tcPr>
          <w:p w14:paraId="474E78E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Dossier is provided in pdf or MS Word document.</w:t>
            </w:r>
          </w:p>
        </w:tc>
      </w:tr>
      <w:tr w:rsidR="0096293C" w:rsidRPr="0096293C" w14:paraId="000E8D21" w14:textId="77777777" w:rsidTr="005B3942">
        <w:tc>
          <w:tcPr>
            <w:tcW w:w="444" w:type="dxa"/>
          </w:tcPr>
          <w:p w14:paraId="03504F0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AF5202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(f)</w:t>
            </w:r>
          </w:p>
        </w:tc>
        <w:tc>
          <w:tcPr>
            <w:tcW w:w="7654" w:type="dxa"/>
          </w:tcPr>
          <w:p w14:paraId="68E04D9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dossier includes a table of contents listing every document in dossier with unique index code.</w:t>
            </w:r>
          </w:p>
        </w:tc>
      </w:tr>
      <w:tr w:rsidR="0096293C" w:rsidRPr="0096293C" w14:paraId="55FF676D" w14:textId="77777777" w:rsidTr="005B3942">
        <w:tc>
          <w:tcPr>
            <w:tcW w:w="444" w:type="dxa"/>
          </w:tcPr>
          <w:p w14:paraId="4948DF9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0BB66AF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(a)</w:t>
            </w:r>
          </w:p>
        </w:tc>
        <w:tc>
          <w:tcPr>
            <w:tcW w:w="7654" w:type="dxa"/>
          </w:tcPr>
          <w:p w14:paraId="7032554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 The dossier includes CV that conforms with Appendix 51.2.</w:t>
            </w:r>
          </w:p>
        </w:tc>
      </w:tr>
      <w:tr w:rsidR="0096293C" w:rsidRPr="0096293C" w14:paraId="05FC2931" w14:textId="77777777" w:rsidTr="005B3942">
        <w:tc>
          <w:tcPr>
            <w:tcW w:w="444" w:type="dxa"/>
          </w:tcPr>
          <w:p w14:paraId="422FB59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B551D8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(b)</w:t>
            </w:r>
          </w:p>
        </w:tc>
        <w:tc>
          <w:tcPr>
            <w:tcW w:w="7654" w:type="dxa"/>
          </w:tcPr>
          <w:p w14:paraId="4B5B3B3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dossier includes a copy of Letter of Appointment.</w:t>
            </w:r>
          </w:p>
        </w:tc>
      </w:tr>
      <w:tr w:rsidR="0096293C" w:rsidRPr="0096293C" w14:paraId="44AAEEC2" w14:textId="77777777" w:rsidTr="005B3942">
        <w:tc>
          <w:tcPr>
            <w:tcW w:w="444" w:type="dxa"/>
          </w:tcPr>
          <w:p w14:paraId="35C4FFB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192CAD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(b)</w:t>
            </w:r>
          </w:p>
        </w:tc>
        <w:tc>
          <w:tcPr>
            <w:tcW w:w="7654" w:type="dxa"/>
          </w:tcPr>
          <w:p w14:paraId="577BD51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dossier includes any other letters relating to candidate’s responsibilities.</w:t>
            </w:r>
          </w:p>
        </w:tc>
      </w:tr>
      <w:tr w:rsidR="0096293C" w:rsidRPr="0096293C" w14:paraId="725AF263" w14:textId="77777777" w:rsidTr="005B3942">
        <w:tc>
          <w:tcPr>
            <w:tcW w:w="444" w:type="dxa"/>
          </w:tcPr>
          <w:p w14:paraId="6C9657A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5EAE617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(c)</w:t>
            </w:r>
          </w:p>
        </w:tc>
        <w:tc>
          <w:tcPr>
            <w:tcW w:w="7654" w:type="dxa"/>
          </w:tcPr>
          <w:p w14:paraId="62DDCEF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dossier includes an appropriate letter of application.</w:t>
            </w:r>
          </w:p>
        </w:tc>
      </w:tr>
      <w:tr w:rsidR="0096293C" w:rsidRPr="0096293C" w14:paraId="17B1BBDD" w14:textId="77777777" w:rsidTr="005B3942">
        <w:tc>
          <w:tcPr>
            <w:tcW w:w="444" w:type="dxa"/>
          </w:tcPr>
          <w:p w14:paraId="2611B36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01D595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(d)</w:t>
            </w:r>
          </w:p>
        </w:tc>
        <w:tc>
          <w:tcPr>
            <w:tcW w:w="7654" w:type="dxa"/>
          </w:tcPr>
          <w:p w14:paraId="50F9BC1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dossier includes Career Development correspondence since initial appointment or last promotion.</w:t>
            </w:r>
          </w:p>
        </w:tc>
      </w:tr>
      <w:tr w:rsidR="0096293C" w:rsidRPr="0096293C" w14:paraId="0EDE212A" w14:textId="77777777" w:rsidTr="005B3942">
        <w:tc>
          <w:tcPr>
            <w:tcW w:w="444" w:type="dxa"/>
          </w:tcPr>
          <w:p w14:paraId="1880CA4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FDCDA1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(d)</w:t>
            </w:r>
          </w:p>
        </w:tc>
        <w:tc>
          <w:tcPr>
            <w:tcW w:w="7654" w:type="dxa"/>
          </w:tcPr>
          <w:p w14:paraId="76A7651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The dossier includes Career Development </w:t>
            </w:r>
            <w:proofErr w:type="gramStart"/>
            <w:r w:rsidRPr="0096293C">
              <w:rPr>
                <w:rFonts w:ascii="Aptos" w:eastAsia="Calibri" w:hAnsi="Aptos" w:cs="Arial"/>
                <w:kern w:val="0"/>
                <w:sz w:val="24"/>
                <w:szCs w:val="24"/>
                <w:lang w:val="en-US"/>
                <w14:ligatures w14:val="none"/>
              </w:rPr>
              <w:t>records since</w:t>
            </w:r>
            <w:proofErr w:type="gramEnd"/>
            <w:r w:rsidRPr="0096293C">
              <w:rPr>
                <w:rFonts w:ascii="Aptos" w:eastAsia="Calibri" w:hAnsi="Aptos" w:cs="Arial"/>
                <w:kern w:val="0"/>
                <w:sz w:val="24"/>
                <w:szCs w:val="24"/>
                <w:lang w:val="en-US"/>
                <w14:ligatures w14:val="none"/>
              </w:rPr>
              <w:t xml:space="preserve"> initial appointment or last promotion.</w:t>
            </w:r>
          </w:p>
        </w:tc>
      </w:tr>
      <w:tr w:rsidR="0096293C" w:rsidRPr="0096293C" w14:paraId="74950394" w14:textId="77777777" w:rsidTr="005B3942">
        <w:tc>
          <w:tcPr>
            <w:tcW w:w="444" w:type="dxa"/>
          </w:tcPr>
          <w:p w14:paraId="7AAAFAD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0C65AE8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(d)</w:t>
            </w:r>
          </w:p>
        </w:tc>
        <w:tc>
          <w:tcPr>
            <w:tcW w:w="7654" w:type="dxa"/>
          </w:tcPr>
          <w:p w14:paraId="33E508F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The dossier includes a copy or copies of Sabbatical </w:t>
            </w:r>
            <w:proofErr w:type="gramStart"/>
            <w:r w:rsidRPr="0096293C">
              <w:rPr>
                <w:rFonts w:ascii="Aptos" w:eastAsia="Calibri" w:hAnsi="Aptos" w:cs="Arial"/>
                <w:kern w:val="0"/>
                <w:sz w:val="24"/>
                <w:szCs w:val="24"/>
                <w:lang w:val="en-US"/>
                <w14:ligatures w14:val="none"/>
              </w:rPr>
              <w:t>reports since</w:t>
            </w:r>
            <w:proofErr w:type="gramEnd"/>
            <w:r w:rsidRPr="0096293C">
              <w:rPr>
                <w:rFonts w:ascii="Aptos" w:eastAsia="Calibri" w:hAnsi="Aptos" w:cs="Arial"/>
                <w:kern w:val="0"/>
                <w:sz w:val="24"/>
                <w:szCs w:val="24"/>
                <w:lang w:val="en-US"/>
                <w14:ligatures w14:val="none"/>
              </w:rPr>
              <w:t xml:space="preserve"> initial appointment or last promotion.</w:t>
            </w:r>
          </w:p>
        </w:tc>
      </w:tr>
      <w:tr w:rsidR="0096293C" w:rsidRPr="0096293C" w14:paraId="21FCAC75" w14:textId="77777777" w:rsidTr="005B3942">
        <w:tc>
          <w:tcPr>
            <w:tcW w:w="444" w:type="dxa"/>
          </w:tcPr>
          <w:p w14:paraId="13B7328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761A8FA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51.03 (e) </w:t>
            </w:r>
          </w:p>
        </w:tc>
        <w:tc>
          <w:tcPr>
            <w:tcW w:w="7654" w:type="dxa"/>
          </w:tcPr>
          <w:p w14:paraId="7405EA5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dossier includes other material deemed pertinent by the candidate.</w:t>
            </w:r>
          </w:p>
        </w:tc>
      </w:tr>
      <w:tr w:rsidR="0096293C" w:rsidRPr="0096293C" w14:paraId="179802C5" w14:textId="77777777" w:rsidTr="005B3942">
        <w:tc>
          <w:tcPr>
            <w:tcW w:w="444" w:type="dxa"/>
          </w:tcPr>
          <w:p w14:paraId="7570C0A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019C5AD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(f)</w:t>
            </w:r>
          </w:p>
        </w:tc>
        <w:tc>
          <w:tcPr>
            <w:tcW w:w="7654" w:type="dxa"/>
          </w:tcPr>
          <w:p w14:paraId="66564B6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Contents of dossier were confirmed by candidate and Chair of LARC.</w:t>
            </w:r>
          </w:p>
        </w:tc>
      </w:tr>
      <w:tr w:rsidR="0096293C" w:rsidRPr="0096293C" w14:paraId="01F889EA" w14:textId="77777777" w:rsidTr="005B3942">
        <w:tc>
          <w:tcPr>
            <w:tcW w:w="444" w:type="dxa"/>
          </w:tcPr>
          <w:p w14:paraId="3DAEF5A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7C135A23"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51.03 (f)</w:t>
            </w:r>
          </w:p>
        </w:tc>
        <w:tc>
          <w:tcPr>
            <w:tcW w:w="7654" w:type="dxa"/>
          </w:tcPr>
          <w:p w14:paraId="0D75F9B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Electronic copies of the dossier submitted to the Secretary of the URC.</w:t>
            </w:r>
          </w:p>
        </w:tc>
      </w:tr>
      <w:tr w:rsidR="0096293C" w:rsidRPr="0096293C" w14:paraId="55442FEA" w14:textId="77777777" w:rsidTr="005B3942">
        <w:tc>
          <w:tcPr>
            <w:tcW w:w="9350" w:type="dxa"/>
            <w:gridSpan w:val="3"/>
          </w:tcPr>
          <w:p w14:paraId="36CF9998"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Checklist B: Criteria for Continuing Appointment and Promotion</w:t>
            </w:r>
          </w:p>
        </w:tc>
      </w:tr>
      <w:tr w:rsidR="0096293C" w:rsidRPr="0096293C" w14:paraId="3523AC03" w14:textId="77777777" w:rsidTr="005B3942">
        <w:tc>
          <w:tcPr>
            <w:tcW w:w="444" w:type="dxa"/>
          </w:tcPr>
          <w:p w14:paraId="33EF10B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75619EE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51.80</w:t>
            </w:r>
          </w:p>
        </w:tc>
        <w:tc>
          <w:tcPr>
            <w:tcW w:w="7654" w:type="dxa"/>
          </w:tcPr>
          <w:p w14:paraId="3D1A4DB3"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LARC makes its decision based on the criteria for continuing appointment and promotion established by Article 51.80.</w:t>
            </w:r>
          </w:p>
        </w:tc>
      </w:tr>
      <w:tr w:rsidR="0096293C" w:rsidRPr="0096293C" w14:paraId="74700732" w14:textId="77777777" w:rsidTr="005B3942">
        <w:tc>
          <w:tcPr>
            <w:tcW w:w="444" w:type="dxa"/>
          </w:tcPr>
          <w:p w14:paraId="348ABCB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4976993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51.83</w:t>
            </w:r>
          </w:p>
        </w:tc>
        <w:tc>
          <w:tcPr>
            <w:tcW w:w="7654" w:type="dxa"/>
          </w:tcPr>
          <w:p w14:paraId="65E0999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4 criteria for assessment were academic qualifications, performance as a Librarian or Archivist, scholarly activity, and service.</w:t>
            </w:r>
          </w:p>
        </w:tc>
      </w:tr>
      <w:tr w:rsidR="0096293C" w:rsidRPr="0096293C" w14:paraId="47590077" w14:textId="77777777" w:rsidTr="005B3942">
        <w:tc>
          <w:tcPr>
            <w:tcW w:w="444" w:type="dxa"/>
          </w:tcPr>
          <w:p w14:paraId="08D0F9D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540E279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51.83</w:t>
            </w:r>
          </w:p>
        </w:tc>
        <w:tc>
          <w:tcPr>
            <w:tcW w:w="7654" w:type="dxa"/>
          </w:tcPr>
          <w:p w14:paraId="3E11AE5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All factors are present to some degree in the candidate’s application.</w:t>
            </w:r>
          </w:p>
        </w:tc>
      </w:tr>
      <w:tr w:rsidR="0096293C" w:rsidRPr="0096293C" w14:paraId="204D2109" w14:textId="77777777" w:rsidTr="005B3942">
        <w:tc>
          <w:tcPr>
            <w:tcW w:w="444" w:type="dxa"/>
          </w:tcPr>
          <w:p w14:paraId="3C73A10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AF68F6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51.83 (a)</w:t>
            </w:r>
          </w:p>
        </w:tc>
        <w:tc>
          <w:tcPr>
            <w:tcW w:w="7654" w:type="dxa"/>
          </w:tcPr>
          <w:p w14:paraId="1FE7F27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Candidate’s dossier provided evidence of possession of an ALA-accredited MLS or MAS or its equivalent.</w:t>
            </w:r>
          </w:p>
        </w:tc>
      </w:tr>
      <w:tr w:rsidR="0096293C" w:rsidRPr="0096293C" w14:paraId="1900C76A" w14:textId="77777777" w:rsidTr="005B3942">
        <w:tc>
          <w:tcPr>
            <w:tcW w:w="444" w:type="dxa"/>
          </w:tcPr>
          <w:p w14:paraId="49F9286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768F612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51.83 (b)</w:t>
            </w:r>
          </w:p>
        </w:tc>
        <w:tc>
          <w:tcPr>
            <w:tcW w:w="7654" w:type="dxa"/>
          </w:tcPr>
          <w:p w14:paraId="758F641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Performance was evaluated in areas of performance as a Librarian or Archivist, scholarly activity, and service, irrespective of time in rank.</w:t>
            </w:r>
          </w:p>
        </w:tc>
      </w:tr>
      <w:tr w:rsidR="0096293C" w:rsidRPr="0096293C" w14:paraId="38792F91" w14:textId="77777777" w:rsidTr="005B3942">
        <w:tc>
          <w:tcPr>
            <w:tcW w:w="444" w:type="dxa"/>
          </w:tcPr>
          <w:p w14:paraId="4DEEF25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2D4D73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51.83 (b)</w:t>
            </w:r>
          </w:p>
        </w:tc>
        <w:tc>
          <w:tcPr>
            <w:tcW w:w="7654" w:type="dxa"/>
          </w:tcPr>
          <w:p w14:paraId="1A51355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Performance was evaluated in relation to the annual Career Development meetings as a primary source of information in assessing evidence of qualifications.</w:t>
            </w:r>
          </w:p>
        </w:tc>
      </w:tr>
      <w:tr w:rsidR="0096293C" w:rsidRPr="0096293C" w14:paraId="562B1C50" w14:textId="77777777" w:rsidTr="005B3942">
        <w:tc>
          <w:tcPr>
            <w:tcW w:w="444" w:type="dxa"/>
          </w:tcPr>
          <w:p w14:paraId="1C228E0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74AFF09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51.83 (b)</w:t>
            </w:r>
          </w:p>
        </w:tc>
        <w:tc>
          <w:tcPr>
            <w:tcW w:w="7654" w:type="dxa"/>
          </w:tcPr>
          <w:p w14:paraId="1CADE4B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Performance was evaluated in relation to other materials provided under Article 51.03.</w:t>
            </w:r>
          </w:p>
        </w:tc>
      </w:tr>
      <w:tr w:rsidR="0096293C" w:rsidRPr="0096293C" w14:paraId="02A387EA" w14:textId="77777777" w:rsidTr="005B3942">
        <w:tc>
          <w:tcPr>
            <w:tcW w:w="9350" w:type="dxa"/>
            <w:gridSpan w:val="3"/>
          </w:tcPr>
          <w:p w14:paraId="4EEA03E0"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Checklist C: Qualifications for Continuing Appointment and Promotion</w:t>
            </w:r>
          </w:p>
        </w:tc>
      </w:tr>
      <w:tr w:rsidR="0096293C" w:rsidRPr="0096293C" w14:paraId="1648D4C1" w14:textId="77777777" w:rsidTr="005B3942">
        <w:tc>
          <w:tcPr>
            <w:tcW w:w="9350" w:type="dxa"/>
            <w:gridSpan w:val="3"/>
          </w:tcPr>
          <w:p w14:paraId="56A1BFD3"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Continuing Appointment</w:t>
            </w:r>
          </w:p>
        </w:tc>
      </w:tr>
      <w:tr w:rsidR="0096293C" w:rsidRPr="0096293C" w14:paraId="40D7C09C" w14:textId="77777777" w:rsidTr="005B3942">
        <w:tc>
          <w:tcPr>
            <w:tcW w:w="444" w:type="dxa"/>
          </w:tcPr>
          <w:p w14:paraId="0316A51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6C826F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51.92 (a)</w:t>
            </w:r>
          </w:p>
        </w:tc>
        <w:tc>
          <w:tcPr>
            <w:tcW w:w="7654" w:type="dxa"/>
          </w:tcPr>
          <w:p w14:paraId="178ABF4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possession of an ALA-accredited MLS or MAS or its equivalent (see 51.83(a)).</w:t>
            </w:r>
          </w:p>
        </w:tc>
      </w:tr>
      <w:tr w:rsidR="0096293C" w:rsidRPr="0096293C" w14:paraId="61E2FA89" w14:textId="77777777" w:rsidTr="005B3942">
        <w:tc>
          <w:tcPr>
            <w:tcW w:w="444" w:type="dxa"/>
          </w:tcPr>
          <w:p w14:paraId="3004E9A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4784825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51.92 (b)</w:t>
            </w:r>
          </w:p>
        </w:tc>
        <w:tc>
          <w:tcPr>
            <w:tcW w:w="7654" w:type="dxa"/>
          </w:tcPr>
          <w:p w14:paraId="4189E35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evidence of satisfactory performance as a Librarian or Archivist.</w:t>
            </w:r>
          </w:p>
        </w:tc>
      </w:tr>
      <w:tr w:rsidR="0096293C" w:rsidRPr="0096293C" w14:paraId="17602B75" w14:textId="77777777" w:rsidTr="005B3942">
        <w:tc>
          <w:tcPr>
            <w:tcW w:w="444" w:type="dxa"/>
          </w:tcPr>
          <w:p w14:paraId="5BB23E9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019465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51.92 (c)</w:t>
            </w:r>
          </w:p>
        </w:tc>
        <w:tc>
          <w:tcPr>
            <w:tcW w:w="7654" w:type="dxa"/>
          </w:tcPr>
          <w:p w14:paraId="44AC0C4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evidence of involvement in scholarly activity.</w:t>
            </w:r>
          </w:p>
        </w:tc>
      </w:tr>
      <w:tr w:rsidR="0096293C" w:rsidRPr="0096293C" w14:paraId="417BD8E6" w14:textId="77777777" w:rsidTr="005B3942">
        <w:tc>
          <w:tcPr>
            <w:tcW w:w="444" w:type="dxa"/>
          </w:tcPr>
          <w:p w14:paraId="5F6FE04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1FCB7A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51.92 (d)</w:t>
            </w:r>
          </w:p>
        </w:tc>
        <w:tc>
          <w:tcPr>
            <w:tcW w:w="7654" w:type="dxa"/>
          </w:tcPr>
          <w:p w14:paraId="371F293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The candidate has demonstrated evidence of participation in service activities that contribute to the functioning of the University. </w:t>
            </w:r>
          </w:p>
        </w:tc>
      </w:tr>
      <w:tr w:rsidR="0096293C" w:rsidRPr="0096293C" w14:paraId="02B091BD" w14:textId="77777777" w:rsidTr="005B3942">
        <w:tc>
          <w:tcPr>
            <w:tcW w:w="9350" w:type="dxa"/>
            <w:gridSpan w:val="3"/>
          </w:tcPr>
          <w:p w14:paraId="473CCDD0"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Promotion to Librarian III/Archivist III</w:t>
            </w:r>
          </w:p>
        </w:tc>
      </w:tr>
      <w:tr w:rsidR="0096293C" w:rsidRPr="0096293C" w14:paraId="2F327749" w14:textId="77777777" w:rsidTr="005B3942">
        <w:tc>
          <w:tcPr>
            <w:tcW w:w="444" w:type="dxa"/>
          </w:tcPr>
          <w:p w14:paraId="4AD3A5B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4898E8A"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51.95</w:t>
            </w:r>
          </w:p>
        </w:tc>
        <w:tc>
          <w:tcPr>
            <w:tcW w:w="7654" w:type="dxa"/>
          </w:tcPr>
          <w:p w14:paraId="1C2E16E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a record of accomplishment.</w:t>
            </w:r>
          </w:p>
        </w:tc>
      </w:tr>
      <w:tr w:rsidR="0096293C" w:rsidRPr="0096293C" w14:paraId="54C1FF51" w14:textId="77777777" w:rsidTr="005B3942">
        <w:tc>
          <w:tcPr>
            <w:tcW w:w="444" w:type="dxa"/>
          </w:tcPr>
          <w:p w14:paraId="3E1708A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4B3E668"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51.95 (a)</w:t>
            </w:r>
          </w:p>
        </w:tc>
        <w:tc>
          <w:tcPr>
            <w:tcW w:w="7654" w:type="dxa"/>
          </w:tcPr>
          <w:p w14:paraId="549AE14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evidence of a positive record of performance as a Librarian or Archivist.</w:t>
            </w:r>
          </w:p>
        </w:tc>
      </w:tr>
      <w:tr w:rsidR="0096293C" w:rsidRPr="0096293C" w14:paraId="5D2CBA91" w14:textId="77777777" w:rsidTr="005B3942">
        <w:tc>
          <w:tcPr>
            <w:tcW w:w="444" w:type="dxa"/>
          </w:tcPr>
          <w:p w14:paraId="316CB70B"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2B6FB10"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51.95 (b)</w:t>
            </w:r>
          </w:p>
        </w:tc>
        <w:tc>
          <w:tcPr>
            <w:tcW w:w="7654" w:type="dxa"/>
          </w:tcPr>
          <w:p w14:paraId="30CA550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evidence of accomplishment in the profession or a relevant academic discipline related to their work to be demonstrated by scholarly or professional activity.</w:t>
            </w:r>
          </w:p>
        </w:tc>
      </w:tr>
      <w:tr w:rsidR="0096293C" w:rsidRPr="0096293C" w14:paraId="15EBA79C" w14:textId="77777777" w:rsidTr="005B3942">
        <w:tc>
          <w:tcPr>
            <w:tcW w:w="444" w:type="dxa"/>
          </w:tcPr>
          <w:p w14:paraId="17FE426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1045B785"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51.95 (c)</w:t>
            </w:r>
          </w:p>
        </w:tc>
        <w:tc>
          <w:tcPr>
            <w:tcW w:w="7654" w:type="dxa"/>
          </w:tcPr>
          <w:p w14:paraId="5D9E1DD7"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evidence of service to the University and discipline-related service to the academic, professional, or broader community.</w:t>
            </w:r>
          </w:p>
        </w:tc>
      </w:tr>
      <w:tr w:rsidR="0096293C" w:rsidRPr="0096293C" w14:paraId="1E3FC668" w14:textId="77777777" w:rsidTr="005B3942">
        <w:tc>
          <w:tcPr>
            <w:tcW w:w="9350" w:type="dxa"/>
            <w:gridSpan w:val="3"/>
          </w:tcPr>
          <w:p w14:paraId="0C89D1BC" w14:textId="77777777" w:rsidR="0096293C" w:rsidRPr="0096293C" w:rsidRDefault="0096293C" w:rsidP="0096293C">
            <w:pPr>
              <w:spacing w:after="0" w:line="240" w:lineRule="auto"/>
              <w:jc w:val="center"/>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Promotion to Librarian IV/Archivist IV</w:t>
            </w:r>
          </w:p>
        </w:tc>
      </w:tr>
      <w:tr w:rsidR="0096293C" w:rsidRPr="0096293C" w14:paraId="5626A3FB" w14:textId="77777777" w:rsidTr="005B3942">
        <w:tc>
          <w:tcPr>
            <w:tcW w:w="444" w:type="dxa"/>
          </w:tcPr>
          <w:p w14:paraId="0FAB4499"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387359A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51.96 (a)</w:t>
            </w:r>
          </w:p>
        </w:tc>
        <w:tc>
          <w:tcPr>
            <w:tcW w:w="7654" w:type="dxa"/>
          </w:tcPr>
          <w:p w14:paraId="3C424A3C"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evidence of a high record of performance as a Librarian or Archivist.</w:t>
            </w:r>
          </w:p>
        </w:tc>
      </w:tr>
      <w:tr w:rsidR="0096293C" w:rsidRPr="0096293C" w14:paraId="5CEF5021" w14:textId="77777777" w:rsidTr="005B3942">
        <w:tc>
          <w:tcPr>
            <w:tcW w:w="444" w:type="dxa"/>
          </w:tcPr>
          <w:p w14:paraId="236DB94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43691A74"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51.96 (b)</w:t>
            </w:r>
          </w:p>
        </w:tc>
        <w:tc>
          <w:tcPr>
            <w:tcW w:w="7654" w:type="dxa"/>
          </w:tcPr>
          <w:p w14:paraId="3228A92F"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 xml:space="preserve">The candidate has demonstrated, by scholarly or professional activity, evidence of significant contributions to the profession or </w:t>
            </w:r>
            <w:proofErr w:type="gramStart"/>
            <w:r w:rsidRPr="0096293C">
              <w:rPr>
                <w:rFonts w:ascii="Aptos" w:eastAsia="Calibri" w:hAnsi="Aptos" w:cs="Arial"/>
                <w:kern w:val="0"/>
                <w:sz w:val="24"/>
                <w:szCs w:val="24"/>
                <w:lang w:val="en-US"/>
                <w14:ligatures w14:val="none"/>
              </w:rPr>
              <w:t>a relevant</w:t>
            </w:r>
            <w:proofErr w:type="gramEnd"/>
            <w:r w:rsidRPr="0096293C">
              <w:rPr>
                <w:rFonts w:ascii="Aptos" w:eastAsia="Calibri" w:hAnsi="Aptos" w:cs="Arial"/>
                <w:kern w:val="0"/>
                <w:sz w:val="24"/>
                <w:szCs w:val="24"/>
                <w:lang w:val="en-US"/>
                <w14:ligatures w14:val="none"/>
              </w:rPr>
              <w:t xml:space="preserve"> academic discipline to their work.</w:t>
            </w:r>
          </w:p>
        </w:tc>
      </w:tr>
      <w:tr w:rsidR="0096293C" w:rsidRPr="0096293C" w14:paraId="0ED2A071" w14:textId="77777777" w:rsidTr="005B3942">
        <w:tc>
          <w:tcPr>
            <w:tcW w:w="444" w:type="dxa"/>
          </w:tcPr>
          <w:p w14:paraId="63E1FCF2"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tc>
        <w:tc>
          <w:tcPr>
            <w:tcW w:w="1252" w:type="dxa"/>
          </w:tcPr>
          <w:p w14:paraId="6FB1AC86"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51.96 (c)</w:t>
            </w:r>
          </w:p>
        </w:tc>
        <w:tc>
          <w:tcPr>
            <w:tcW w:w="7654" w:type="dxa"/>
          </w:tcPr>
          <w:p w14:paraId="0E347E01"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The candidate has demonstrated evidence of service to the University and academic community and/or the profession and/or the community, such as contributions of leadership and innovation involving decisions and policies that have had a major beneficial influence.</w:t>
            </w:r>
          </w:p>
        </w:tc>
      </w:tr>
    </w:tbl>
    <w:p w14:paraId="4161CBB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p w14:paraId="5FD216CE"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In accordance with Articles 12.22 (b) and 12.27, I hereby submit the completed LARC Procedure Form:</w:t>
      </w:r>
    </w:p>
    <w:p w14:paraId="19C1D46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p w14:paraId="3BFF092D" w14:textId="77777777" w:rsidR="0096293C" w:rsidRPr="0096293C" w:rsidRDefault="0096293C" w:rsidP="0096293C">
      <w:pPr>
        <w:tabs>
          <w:tab w:val="left" w:pos="144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Dated:</w:t>
      </w:r>
      <w:r w:rsidRPr="0096293C">
        <w:rPr>
          <w:rFonts w:ascii="Aptos" w:eastAsia="Calibri" w:hAnsi="Aptos" w:cs="Arial"/>
          <w:kern w:val="0"/>
          <w:sz w:val="24"/>
          <w:szCs w:val="24"/>
          <w:lang w:val="en-US"/>
          <w14:ligatures w14:val="none"/>
        </w:rPr>
        <w:tab/>
        <w:t>___________________________________________________________</w:t>
      </w:r>
    </w:p>
    <w:p w14:paraId="420FEA4D" w14:textId="77777777" w:rsidR="0096293C" w:rsidRPr="0096293C" w:rsidRDefault="0096293C" w:rsidP="0096293C">
      <w:pPr>
        <w:spacing w:after="0" w:line="240" w:lineRule="auto"/>
        <w:rPr>
          <w:rFonts w:ascii="Aptos" w:eastAsia="Calibri" w:hAnsi="Aptos" w:cs="Arial"/>
          <w:kern w:val="0"/>
          <w:sz w:val="24"/>
          <w:szCs w:val="24"/>
          <w:lang w:val="en-US"/>
          <w14:ligatures w14:val="none"/>
        </w:rPr>
      </w:pPr>
    </w:p>
    <w:p w14:paraId="779C5579" w14:textId="77777777" w:rsidR="0096293C" w:rsidRPr="0096293C" w:rsidRDefault="0096293C" w:rsidP="0096293C">
      <w:pPr>
        <w:tabs>
          <w:tab w:val="left" w:pos="1440"/>
        </w:tabs>
        <w:spacing w:after="0" w:line="240" w:lineRule="auto"/>
        <w:rPr>
          <w:rFonts w:ascii="Aptos" w:eastAsia="Calibri" w:hAnsi="Aptos" w:cs="Arial"/>
          <w:kern w:val="0"/>
          <w:sz w:val="24"/>
          <w:szCs w:val="24"/>
          <w:lang w:val="en-US"/>
          <w14:ligatures w14:val="none"/>
        </w:rPr>
      </w:pPr>
      <w:r w:rsidRPr="0096293C">
        <w:rPr>
          <w:rFonts w:ascii="Aptos" w:eastAsia="Calibri" w:hAnsi="Aptos" w:cs="Arial"/>
          <w:kern w:val="0"/>
          <w:sz w:val="24"/>
          <w:szCs w:val="24"/>
          <w:lang w:val="en-US"/>
          <w14:ligatures w14:val="none"/>
        </w:rPr>
        <w:t>Signed:</w:t>
      </w:r>
      <w:r w:rsidRPr="0096293C">
        <w:rPr>
          <w:rFonts w:ascii="Aptos" w:eastAsia="Calibri" w:hAnsi="Aptos" w:cs="Arial"/>
          <w:kern w:val="0"/>
          <w:sz w:val="24"/>
          <w:szCs w:val="24"/>
          <w:lang w:val="en-US"/>
          <w14:ligatures w14:val="none"/>
        </w:rPr>
        <w:tab/>
        <w:t>___________________________________________________________</w:t>
      </w:r>
    </w:p>
    <w:p w14:paraId="43880A6D" w14:textId="77777777" w:rsidR="0096293C" w:rsidRPr="0096293C" w:rsidRDefault="0096293C" w:rsidP="0096293C">
      <w:pPr>
        <w:spacing w:after="0" w:line="240" w:lineRule="auto"/>
        <w:ind w:left="1170" w:firstLine="270"/>
        <w:rPr>
          <w:rFonts w:ascii="Aptos" w:eastAsia="Times New Roman" w:hAnsi="Aptos" w:cs="Times New Roman"/>
          <w:kern w:val="0"/>
          <w:sz w:val="24"/>
          <w:szCs w:val="24"/>
          <w:lang w:val="en-US"/>
          <w14:ligatures w14:val="none"/>
        </w:rPr>
      </w:pPr>
      <w:r w:rsidRPr="0096293C">
        <w:rPr>
          <w:rFonts w:ascii="Aptos" w:eastAsia="Times New Roman" w:hAnsi="Aptos" w:cs="Times New Roman"/>
          <w:kern w:val="0"/>
          <w:sz w:val="24"/>
          <w:szCs w:val="24"/>
          <w:lang w:val="en-US"/>
          <w14:ligatures w14:val="none"/>
        </w:rPr>
        <w:t>Secretary of the LARC</w:t>
      </w:r>
    </w:p>
    <w:p w14:paraId="29E13236" w14:textId="423657E3" w:rsidR="004049CE" w:rsidRPr="0096293C" w:rsidRDefault="004049CE" w:rsidP="0096293C">
      <w:pPr>
        <w:spacing w:after="0" w:line="240" w:lineRule="auto"/>
        <w:rPr>
          <w:rFonts w:ascii="Aptos" w:eastAsia="Calibri" w:hAnsi="Aptos" w:cs="Calibri"/>
          <w:b/>
          <w:kern w:val="0"/>
          <w:sz w:val="24"/>
          <w:szCs w:val="24"/>
          <w:lang w:val="en-US"/>
          <w14:ligatures w14:val="none"/>
        </w:rPr>
      </w:pPr>
    </w:p>
    <w:sectPr w:rsidR="004049CE" w:rsidRPr="009629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3C"/>
    <w:rsid w:val="004049CE"/>
    <w:rsid w:val="00450ED6"/>
    <w:rsid w:val="00534A81"/>
    <w:rsid w:val="006D5A1C"/>
    <w:rsid w:val="00875B2E"/>
    <w:rsid w:val="009629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CEF3"/>
  <w15:chartTrackingRefBased/>
  <w15:docId w15:val="{6E85E58B-4270-4B6F-BEB9-FE5458CC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93C"/>
    <w:rPr>
      <w:rFonts w:eastAsiaTheme="majorEastAsia" w:cstheme="majorBidi"/>
      <w:color w:val="272727" w:themeColor="text1" w:themeTint="D8"/>
    </w:rPr>
  </w:style>
  <w:style w:type="paragraph" w:styleId="Title">
    <w:name w:val="Title"/>
    <w:basedOn w:val="Normal"/>
    <w:next w:val="Normal"/>
    <w:link w:val="TitleChar"/>
    <w:uiPriority w:val="10"/>
    <w:qFormat/>
    <w:rsid w:val="00962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93C"/>
    <w:pPr>
      <w:spacing w:before="160"/>
      <w:jc w:val="center"/>
    </w:pPr>
    <w:rPr>
      <w:i/>
      <w:iCs/>
      <w:color w:val="404040" w:themeColor="text1" w:themeTint="BF"/>
    </w:rPr>
  </w:style>
  <w:style w:type="character" w:customStyle="1" w:styleId="QuoteChar">
    <w:name w:val="Quote Char"/>
    <w:basedOn w:val="DefaultParagraphFont"/>
    <w:link w:val="Quote"/>
    <w:uiPriority w:val="29"/>
    <w:rsid w:val="0096293C"/>
    <w:rPr>
      <w:i/>
      <w:iCs/>
      <w:color w:val="404040" w:themeColor="text1" w:themeTint="BF"/>
    </w:rPr>
  </w:style>
  <w:style w:type="paragraph" w:styleId="ListParagraph">
    <w:name w:val="List Paragraph"/>
    <w:basedOn w:val="Normal"/>
    <w:uiPriority w:val="34"/>
    <w:qFormat/>
    <w:rsid w:val="0096293C"/>
    <w:pPr>
      <w:ind w:left="720"/>
      <w:contextualSpacing/>
    </w:pPr>
  </w:style>
  <w:style w:type="character" w:styleId="IntenseEmphasis">
    <w:name w:val="Intense Emphasis"/>
    <w:basedOn w:val="DefaultParagraphFont"/>
    <w:uiPriority w:val="21"/>
    <w:qFormat/>
    <w:rsid w:val="0096293C"/>
    <w:rPr>
      <w:i/>
      <w:iCs/>
      <w:color w:val="0F4761" w:themeColor="accent1" w:themeShade="BF"/>
    </w:rPr>
  </w:style>
  <w:style w:type="paragraph" w:styleId="IntenseQuote">
    <w:name w:val="Intense Quote"/>
    <w:basedOn w:val="Normal"/>
    <w:next w:val="Normal"/>
    <w:link w:val="IntenseQuoteChar"/>
    <w:uiPriority w:val="30"/>
    <w:qFormat/>
    <w:rsid w:val="00962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93C"/>
    <w:rPr>
      <w:i/>
      <w:iCs/>
      <w:color w:val="0F4761" w:themeColor="accent1" w:themeShade="BF"/>
    </w:rPr>
  </w:style>
  <w:style w:type="character" w:styleId="IntenseReference">
    <w:name w:val="Intense Reference"/>
    <w:basedOn w:val="DefaultParagraphFont"/>
    <w:uiPriority w:val="32"/>
    <w:qFormat/>
    <w:rsid w:val="00962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9D2C6-9B17-4A91-A6A6-361DBB8FCBC1}"/>
</file>

<file path=customXml/itemProps2.xml><?xml version="1.0" encoding="utf-8"?>
<ds:datastoreItem xmlns:ds="http://schemas.openxmlformats.org/officeDocument/2006/customXml" ds:itemID="{57E7D55B-F7D8-45C5-AC47-A981F2DFF1A4}"/>
</file>

<file path=customXml/itemProps3.xml><?xml version="1.0" encoding="utf-8"?>
<ds:datastoreItem xmlns:ds="http://schemas.openxmlformats.org/officeDocument/2006/customXml" ds:itemID="{F4DF6E3E-99B2-4937-95C4-D23CA6ADE5FA}"/>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6591</Characters>
  <Application>Microsoft Office Word</Application>
  <DocSecurity>0</DocSecurity>
  <Lines>252</Lines>
  <Paragraphs>138</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Ashley</dc:creator>
  <cp:keywords/>
  <dc:description/>
  <cp:lastModifiedBy>Kate Ashley</cp:lastModifiedBy>
  <cp:revision>1</cp:revision>
  <dcterms:created xsi:type="dcterms:W3CDTF">2025-10-10T01:26:00Z</dcterms:created>
  <dcterms:modified xsi:type="dcterms:W3CDTF">2025-10-10T01:31:00Z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