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B4C1" w14:textId="77777777" w:rsidR="005C49C9" w:rsidRPr="005C49C9" w:rsidRDefault="005C49C9" w:rsidP="005C49C9">
      <w:pPr>
        <w:keepNext/>
        <w:keepLines/>
        <w:tabs>
          <w:tab w:val="left" w:pos="0"/>
          <w:tab w:val="left" w:pos="1260"/>
          <w:tab w:val="left" w:leader="dot" w:pos="9000"/>
        </w:tabs>
        <w:spacing w:before="240" w:after="240" w:line="240" w:lineRule="auto"/>
        <w:outlineLvl w:val="0"/>
        <w:rPr>
          <w:rFonts w:ascii="Aptos" w:eastAsia="Calibri" w:hAnsi="Aptos" w:cs="Calibri"/>
          <w:b/>
          <w:strike/>
          <w:kern w:val="0"/>
          <w:sz w:val="24"/>
          <w:szCs w:val="24"/>
          <w:lang w:val="en-US"/>
          <w14:ligatures w14:val="none"/>
        </w:rPr>
      </w:pPr>
      <w:bookmarkStart w:id="0" w:name="_Toc210757729"/>
      <w:r w:rsidRPr="005C49C9">
        <w:rPr>
          <w:rFonts w:ascii="Aptos" w:eastAsia="Calibri" w:hAnsi="Aptos" w:cs="Calibri"/>
          <w:b/>
          <w:kern w:val="0"/>
          <w:sz w:val="24"/>
          <w:szCs w:val="24"/>
          <w:lang w:val="en-US"/>
          <w14:ligatures w14:val="none"/>
        </w:rPr>
        <w:t>Appendix 59.2</w:t>
      </w:r>
      <w:bookmarkEnd w:id="0"/>
    </w:p>
    <w:p w14:paraId="49971CEA"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LIBRARY AND ARCHIVES</w:t>
      </w:r>
      <w:r w:rsidRPr="005C49C9">
        <w:rPr>
          <w:rFonts w:ascii="Aptos" w:eastAsia="Calibri" w:hAnsi="Aptos" w:cs="Calibri"/>
          <w:b/>
          <w:bCs/>
          <w:kern w:val="0"/>
          <w:sz w:val="24"/>
          <w:szCs w:val="24"/>
          <w:lang w:val="en-CA"/>
          <w14:ligatures w14:val="none"/>
        </w:rPr>
        <w:t xml:space="preserve"> </w:t>
      </w:r>
      <w:r w:rsidRPr="005C49C9">
        <w:rPr>
          <w:rFonts w:ascii="Aptos" w:eastAsia="Calibri" w:hAnsi="Aptos" w:cs="Calibri"/>
          <w:kern w:val="0"/>
          <w:sz w:val="24"/>
          <w:szCs w:val="24"/>
          <w:lang w:val="en-CA"/>
          <w14:ligatures w14:val="none"/>
        </w:rPr>
        <w:t>REVIEW COMMITTEE PROCEDURE FORM (Curator)</w:t>
      </w:r>
    </w:p>
    <w:p w14:paraId="453D1DD1" w14:textId="77777777" w:rsidR="005C49C9" w:rsidRPr="005C49C9" w:rsidRDefault="005C49C9" w:rsidP="005C49C9">
      <w:pPr>
        <w:spacing w:after="0" w:line="240" w:lineRule="auto"/>
        <w:ind w:left="1134" w:hanging="1134"/>
        <w:rPr>
          <w:rFonts w:ascii="Aptos" w:eastAsia="Calibri" w:hAnsi="Aptos" w:cs="Calibri"/>
          <w:kern w:val="0"/>
          <w:sz w:val="24"/>
          <w:szCs w:val="24"/>
          <w:lang w:val="en-CA"/>
          <w14:ligatures w14:val="none"/>
        </w:rPr>
      </w:pPr>
    </w:p>
    <w:p w14:paraId="54ADA87A"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This Procedure Form is a procedural requirement intended to aid LARCs in satisfying their obligations to the URC, especially as pertaining to Article 12.31, 12.42 (b) (i) and 12.43 (b), which generally require: (12.31) “that the LARC has followed proper procedure, has used the appropriate criteria and qualifications, as identified in the table below, and that the criteria are applied consistently across the Academic Units.”</w:t>
      </w:r>
      <w:r w:rsidRPr="005C49C9">
        <w:rPr>
          <w:rFonts w:ascii="Aptos" w:eastAsia="Calibri" w:hAnsi="Aptos" w:cs="Calibri"/>
          <w:kern w:val="0"/>
          <w:sz w:val="24"/>
          <w:szCs w:val="24"/>
          <w:lang w:val="en-CA"/>
          <w14:ligatures w14:val="none"/>
        </w:rPr>
        <w:tab/>
      </w:r>
    </w:p>
    <w:p w14:paraId="25252A16" w14:textId="77777777" w:rsidR="005C49C9" w:rsidRPr="005C49C9" w:rsidRDefault="005C49C9" w:rsidP="005C49C9">
      <w:pPr>
        <w:spacing w:after="0" w:line="240" w:lineRule="auto"/>
        <w:ind w:left="1134" w:hanging="1134"/>
        <w:rPr>
          <w:rFonts w:ascii="Aptos" w:eastAsia="Calibri" w:hAnsi="Aptos" w:cs="Calibri"/>
          <w:kern w:val="0"/>
          <w:sz w:val="24"/>
          <w:szCs w:val="24"/>
          <w:lang w:val="en-CA"/>
          <w14:ligatures w14:val="none"/>
        </w:rPr>
      </w:pPr>
    </w:p>
    <w:tbl>
      <w:tblPr>
        <w:tblStyle w:val="TableGrid1"/>
        <w:tblW w:w="0" w:type="auto"/>
        <w:tblInd w:w="1695" w:type="dxa"/>
        <w:tblLook w:val="04A0" w:firstRow="1" w:lastRow="0" w:firstColumn="1" w:lastColumn="0" w:noHBand="0" w:noVBand="1"/>
      </w:tblPr>
      <w:tblGrid>
        <w:gridCol w:w="2057"/>
        <w:gridCol w:w="2559"/>
        <w:gridCol w:w="3039"/>
      </w:tblGrid>
      <w:tr w:rsidR="005C49C9" w:rsidRPr="005C49C9" w14:paraId="12A161CE" w14:textId="77777777" w:rsidTr="005B3942">
        <w:tc>
          <w:tcPr>
            <w:tcW w:w="3320" w:type="dxa"/>
          </w:tcPr>
          <w:p w14:paraId="1DCC58B3" w14:textId="77777777" w:rsidR="005C49C9" w:rsidRPr="005C49C9" w:rsidRDefault="005C49C9" w:rsidP="005C49C9">
            <w:pPr>
              <w:ind w:left="1134" w:hanging="1134"/>
              <w:rPr>
                <w:rFonts w:ascii="Aptos" w:eastAsia="Calibri" w:hAnsi="Aptos" w:cs="Calibri"/>
                <w:sz w:val="24"/>
                <w:szCs w:val="24"/>
                <w:lang w:val="en-CA"/>
              </w:rPr>
            </w:pPr>
          </w:p>
        </w:tc>
        <w:tc>
          <w:tcPr>
            <w:tcW w:w="3321" w:type="dxa"/>
          </w:tcPr>
          <w:p w14:paraId="4373822D" w14:textId="77777777" w:rsidR="005C49C9" w:rsidRPr="005C49C9" w:rsidRDefault="005C49C9" w:rsidP="005C49C9">
            <w:pPr>
              <w:ind w:left="1134" w:hanging="1134"/>
              <w:rPr>
                <w:rFonts w:ascii="Aptos" w:eastAsia="Calibri" w:hAnsi="Aptos" w:cs="Calibri"/>
                <w:sz w:val="24"/>
                <w:szCs w:val="24"/>
                <w:lang w:val="en-CA"/>
              </w:rPr>
            </w:pPr>
            <w:r w:rsidRPr="005C49C9">
              <w:rPr>
                <w:rFonts w:ascii="Aptos" w:eastAsia="Calibri" w:hAnsi="Aptos" w:cs="Calibri"/>
                <w:sz w:val="24"/>
                <w:szCs w:val="24"/>
                <w:lang w:val="en-CA"/>
              </w:rPr>
              <w:t>Procedure</w:t>
            </w:r>
          </w:p>
        </w:tc>
        <w:tc>
          <w:tcPr>
            <w:tcW w:w="3321" w:type="dxa"/>
          </w:tcPr>
          <w:p w14:paraId="4155C633" w14:textId="77777777" w:rsidR="005C49C9" w:rsidRPr="005C49C9" w:rsidRDefault="005C49C9" w:rsidP="005C49C9">
            <w:pPr>
              <w:ind w:left="1134" w:hanging="1134"/>
              <w:rPr>
                <w:rFonts w:ascii="Aptos" w:eastAsia="Calibri" w:hAnsi="Aptos" w:cs="Calibri"/>
                <w:sz w:val="24"/>
                <w:szCs w:val="24"/>
                <w:lang w:val="en-CA"/>
              </w:rPr>
            </w:pPr>
            <w:r w:rsidRPr="005C49C9">
              <w:rPr>
                <w:rFonts w:ascii="Aptos" w:eastAsia="Calibri" w:hAnsi="Aptos" w:cs="Calibri"/>
                <w:sz w:val="24"/>
                <w:szCs w:val="24"/>
                <w:lang w:val="en-CA"/>
              </w:rPr>
              <w:t>Criteria and Qualifications</w:t>
            </w:r>
          </w:p>
        </w:tc>
      </w:tr>
      <w:tr w:rsidR="005C49C9" w:rsidRPr="005C49C9" w14:paraId="2CE0FA6A" w14:textId="77777777" w:rsidTr="005B3942">
        <w:tc>
          <w:tcPr>
            <w:tcW w:w="3320" w:type="dxa"/>
          </w:tcPr>
          <w:p w14:paraId="5431D60E" w14:textId="77777777" w:rsidR="005C49C9" w:rsidRPr="005C49C9" w:rsidRDefault="005C49C9" w:rsidP="005C49C9">
            <w:pPr>
              <w:ind w:left="1134" w:hanging="1134"/>
              <w:rPr>
                <w:rFonts w:ascii="Aptos" w:eastAsia="Calibri" w:hAnsi="Aptos" w:cs="Calibri"/>
                <w:sz w:val="24"/>
                <w:szCs w:val="24"/>
                <w:lang w:val="en-CA"/>
              </w:rPr>
            </w:pPr>
            <w:r w:rsidRPr="005C49C9">
              <w:rPr>
                <w:rFonts w:ascii="Aptos" w:eastAsia="Calibri" w:hAnsi="Aptos" w:cs="Calibri"/>
                <w:sz w:val="24"/>
                <w:szCs w:val="24"/>
                <w:lang w:val="en-CA"/>
              </w:rPr>
              <w:t>Curator</w:t>
            </w:r>
          </w:p>
        </w:tc>
        <w:tc>
          <w:tcPr>
            <w:tcW w:w="3321" w:type="dxa"/>
          </w:tcPr>
          <w:p w14:paraId="16EDB619" w14:textId="77777777" w:rsidR="005C49C9" w:rsidRPr="005C49C9" w:rsidRDefault="005C49C9" w:rsidP="005C49C9">
            <w:pPr>
              <w:ind w:left="1134" w:hanging="1134"/>
              <w:rPr>
                <w:rFonts w:ascii="Aptos" w:eastAsia="Calibri" w:hAnsi="Aptos" w:cs="Calibri"/>
                <w:sz w:val="24"/>
                <w:szCs w:val="24"/>
                <w:lang w:val="en-CA"/>
              </w:rPr>
            </w:pPr>
            <w:r w:rsidRPr="005C49C9">
              <w:rPr>
                <w:rFonts w:ascii="Aptos" w:eastAsia="Calibri" w:hAnsi="Aptos" w:cs="Calibri"/>
                <w:sz w:val="24"/>
                <w:szCs w:val="24"/>
                <w:lang w:val="en-CA"/>
              </w:rPr>
              <w:t>51.10 and 51.20</w:t>
            </w:r>
          </w:p>
        </w:tc>
        <w:tc>
          <w:tcPr>
            <w:tcW w:w="3321" w:type="dxa"/>
          </w:tcPr>
          <w:p w14:paraId="386F9CD9" w14:textId="77777777" w:rsidR="005C49C9" w:rsidRPr="005C49C9" w:rsidRDefault="005C49C9" w:rsidP="005C49C9">
            <w:pPr>
              <w:ind w:left="1134" w:hanging="1134"/>
              <w:rPr>
                <w:rFonts w:ascii="Aptos" w:eastAsia="Calibri" w:hAnsi="Aptos" w:cs="Calibri"/>
                <w:sz w:val="24"/>
                <w:szCs w:val="24"/>
                <w:lang w:val="en-CA"/>
              </w:rPr>
            </w:pPr>
            <w:r w:rsidRPr="005C49C9">
              <w:rPr>
                <w:rFonts w:ascii="Aptos" w:eastAsia="Calibri" w:hAnsi="Aptos" w:cs="Calibri"/>
                <w:sz w:val="24"/>
                <w:szCs w:val="24"/>
                <w:lang w:val="en-CA"/>
              </w:rPr>
              <w:t>59.80 and 59.90</w:t>
            </w:r>
          </w:p>
        </w:tc>
      </w:tr>
    </w:tbl>
    <w:p w14:paraId="4DF37638" w14:textId="77777777" w:rsidR="005C49C9" w:rsidRPr="005C49C9" w:rsidRDefault="005C49C9" w:rsidP="005C49C9">
      <w:pPr>
        <w:spacing w:after="0" w:line="240" w:lineRule="auto"/>
        <w:ind w:left="1134" w:hanging="1134"/>
        <w:rPr>
          <w:rFonts w:ascii="Aptos" w:eastAsia="Calibri" w:hAnsi="Aptos" w:cs="Calibri"/>
          <w:kern w:val="0"/>
          <w:sz w:val="24"/>
          <w:szCs w:val="24"/>
          <w:lang w:val="en-CA"/>
          <w14:ligatures w14:val="none"/>
        </w:rPr>
      </w:pPr>
    </w:p>
    <w:p w14:paraId="100B27A6"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Procedure Form is subject to the terms and conditions of the Collective Agreement which take precedence over the Procedures Form. If any part of the Procedure Form is at variance with the terms and conditions of the Agreement, the Procedure Form shall stand corrected by those terms and conditions.</w:t>
      </w:r>
    </w:p>
    <w:p w14:paraId="16FCD4F6" w14:textId="77777777" w:rsidR="005C49C9" w:rsidRPr="005C49C9" w:rsidRDefault="005C49C9" w:rsidP="005C49C9">
      <w:pPr>
        <w:spacing w:after="0" w:line="240" w:lineRule="auto"/>
        <w:ind w:left="1134" w:hanging="1134"/>
        <w:rPr>
          <w:rFonts w:ascii="Aptos" w:eastAsia="Calibri" w:hAnsi="Aptos" w:cs="Calibri"/>
          <w:kern w:val="0"/>
          <w:sz w:val="24"/>
          <w:szCs w:val="24"/>
          <w:lang w:val="en-CA"/>
          <w14:ligatures w14:val="none"/>
        </w:rPr>
      </w:pPr>
    </w:p>
    <w:p w14:paraId="7C82AA0B"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Academic Unit:</w:t>
      </w:r>
      <w:r w:rsidRPr="005C49C9">
        <w:rPr>
          <w:rFonts w:ascii="Aptos" w:eastAsia="Calibri" w:hAnsi="Aptos" w:cs="Calibri"/>
          <w:kern w:val="0"/>
          <w:sz w:val="24"/>
          <w:szCs w:val="24"/>
          <w:lang w:val="en-CA"/>
          <w14:ligatures w14:val="none"/>
        </w:rPr>
        <w:tab/>
        <w:t>_________________________________________________________</w:t>
      </w:r>
    </w:p>
    <w:p w14:paraId="3BC26F8B"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Candidate:</w:t>
      </w:r>
      <w:r w:rsidRPr="005C49C9">
        <w:rPr>
          <w:rFonts w:ascii="Aptos" w:eastAsia="Calibri" w:hAnsi="Aptos" w:cs="Calibri"/>
          <w:kern w:val="0"/>
          <w:sz w:val="24"/>
          <w:szCs w:val="24"/>
          <w:lang w:val="en-CA"/>
          <w14:ligatures w14:val="none"/>
        </w:rPr>
        <w:tab/>
        <w:t>_________________________________________________________</w:t>
      </w:r>
    </w:p>
    <w:p w14:paraId="2D3DF19A"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Application:</w:t>
      </w:r>
      <w:r w:rsidRPr="005C49C9">
        <w:rPr>
          <w:rFonts w:ascii="Aptos" w:eastAsia="Calibri" w:hAnsi="Aptos" w:cs="Calibri"/>
          <w:kern w:val="0"/>
          <w:sz w:val="24"/>
          <w:szCs w:val="24"/>
          <w:lang w:val="en-CA"/>
          <w14:ligatures w14:val="none"/>
        </w:rPr>
        <w:tab/>
        <w:t>_________________________________________________________</w:t>
      </w:r>
    </w:p>
    <w:p w14:paraId="3C6A6D13" w14:textId="77777777" w:rsidR="005C49C9" w:rsidRPr="005C49C9" w:rsidRDefault="005C49C9" w:rsidP="005C49C9">
      <w:pPr>
        <w:tabs>
          <w:tab w:val="left" w:pos="3060"/>
        </w:tabs>
        <w:spacing w:after="0" w:line="240" w:lineRule="auto"/>
        <w:ind w:left="1134"/>
        <w:rPr>
          <w:rFonts w:ascii="Aptos" w:eastAsia="Calibri" w:hAnsi="Aptos" w:cs="Calibri"/>
          <w:kern w:val="0"/>
          <w:sz w:val="24"/>
          <w:szCs w:val="24"/>
          <w:lang w:val="en-CA"/>
          <w14:ligatures w14:val="none"/>
        </w:rPr>
      </w:pPr>
    </w:p>
    <w:p w14:paraId="59E73A5B"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Members of LARC:</w:t>
      </w:r>
      <w:r w:rsidRPr="005C49C9">
        <w:rPr>
          <w:rFonts w:ascii="Aptos" w:eastAsia="Calibri" w:hAnsi="Aptos" w:cs="Calibri"/>
          <w:kern w:val="0"/>
          <w:sz w:val="24"/>
          <w:szCs w:val="24"/>
          <w:lang w:val="en-CA"/>
          <w14:ligatures w14:val="none"/>
        </w:rPr>
        <w:tab/>
        <w:t>_________________________________________________________</w:t>
      </w:r>
    </w:p>
    <w:p w14:paraId="16B6A7B4"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 xml:space="preserve">Dean/Replacement </w:t>
      </w:r>
      <w:r w:rsidRPr="005C49C9">
        <w:rPr>
          <w:rFonts w:ascii="Aptos" w:eastAsia="Calibri" w:hAnsi="Aptos" w:cs="Calibri"/>
          <w:kern w:val="0"/>
          <w:sz w:val="24"/>
          <w:szCs w:val="24"/>
          <w:lang w:val="en-CA"/>
          <w14:ligatures w14:val="none"/>
        </w:rPr>
        <w:tab/>
        <w:t>_______________________________________________________</w:t>
      </w:r>
    </w:p>
    <w:p w14:paraId="784C546B"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Cognate</w:t>
      </w:r>
      <w:r w:rsidRPr="005C49C9">
        <w:rPr>
          <w:rFonts w:ascii="Aptos" w:eastAsia="Calibri" w:hAnsi="Aptos" w:cs="Calibri"/>
          <w:kern w:val="0"/>
          <w:sz w:val="24"/>
          <w:szCs w:val="24"/>
          <w:lang w:val="en-CA"/>
          <w14:ligatures w14:val="none"/>
        </w:rPr>
        <w:tab/>
        <w:t>_________________________________________________________</w:t>
      </w:r>
    </w:p>
    <w:p w14:paraId="234F7745"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Professor/Cognate</w:t>
      </w:r>
      <w:r w:rsidRPr="005C49C9">
        <w:rPr>
          <w:rFonts w:ascii="Aptos" w:eastAsia="Calibri" w:hAnsi="Aptos" w:cs="Calibri"/>
          <w:kern w:val="0"/>
          <w:sz w:val="24"/>
          <w:szCs w:val="24"/>
          <w:lang w:val="en-CA"/>
          <w14:ligatures w14:val="none"/>
        </w:rPr>
        <w:tab/>
        <w:t xml:space="preserve"> ________________________________________________________</w:t>
      </w:r>
    </w:p>
    <w:p w14:paraId="3A9F6935" w14:textId="77777777" w:rsidR="005C49C9" w:rsidRPr="005C49C9" w:rsidRDefault="005C49C9" w:rsidP="005C49C9">
      <w:pPr>
        <w:tabs>
          <w:tab w:val="left" w:pos="30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 xml:space="preserve">Professor/Cognate </w:t>
      </w:r>
      <w:r w:rsidRPr="005C49C9">
        <w:rPr>
          <w:rFonts w:ascii="Aptos" w:eastAsia="Calibri" w:hAnsi="Aptos" w:cs="Calibri"/>
          <w:kern w:val="0"/>
          <w:sz w:val="24"/>
          <w:szCs w:val="24"/>
          <w:lang w:val="en-CA"/>
          <w14:ligatures w14:val="none"/>
        </w:rPr>
        <w:tab/>
        <w:t>________________________________________________________</w:t>
      </w:r>
    </w:p>
    <w:p w14:paraId="1093F99D" w14:textId="77777777" w:rsidR="005C49C9" w:rsidRPr="005C49C9" w:rsidRDefault="005C49C9" w:rsidP="005C49C9">
      <w:pPr>
        <w:tabs>
          <w:tab w:val="left" w:pos="39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Librarian/Archivist/</w:t>
      </w:r>
      <w:proofErr w:type="gramStart"/>
      <w:r w:rsidRPr="005C49C9">
        <w:rPr>
          <w:rFonts w:ascii="Aptos" w:eastAsia="Calibri" w:hAnsi="Aptos" w:cs="Calibri"/>
          <w:kern w:val="0"/>
          <w:sz w:val="24"/>
          <w:szCs w:val="24"/>
          <w:lang w:val="en-CA"/>
          <w14:ligatures w14:val="none"/>
        </w:rPr>
        <w:t>Cognate  _</w:t>
      </w:r>
      <w:proofErr w:type="gramEnd"/>
      <w:r w:rsidRPr="005C49C9">
        <w:rPr>
          <w:rFonts w:ascii="Aptos" w:eastAsia="Calibri" w:hAnsi="Aptos" w:cs="Calibri"/>
          <w:kern w:val="0"/>
          <w:sz w:val="24"/>
          <w:szCs w:val="24"/>
          <w:lang w:val="en-CA"/>
          <w14:ligatures w14:val="none"/>
        </w:rPr>
        <w:t>_________________________________________________________</w:t>
      </w:r>
    </w:p>
    <w:p w14:paraId="17DBA9F8" w14:textId="77777777" w:rsidR="005C49C9" w:rsidRPr="005C49C9" w:rsidRDefault="005C49C9" w:rsidP="005C49C9">
      <w:pPr>
        <w:tabs>
          <w:tab w:val="left" w:pos="396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Librarian/Archivist/Cognate __________________________________________________________</w:t>
      </w:r>
    </w:p>
    <w:p w14:paraId="61144FD5"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p>
    <w:p w14:paraId="634775D2"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Enter Y (Yes), N (No), or N/A (Not Applicable) in the left column as appropriate.</w:t>
      </w:r>
    </w:p>
    <w:p w14:paraId="477FD227"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p>
    <w:tbl>
      <w:tblPr>
        <w:tblW w:w="9946" w:type="dxa"/>
        <w:tblInd w:w="6" w:type="dxa"/>
        <w:tblLayout w:type="fixed"/>
        <w:tblCellMar>
          <w:left w:w="10" w:type="dxa"/>
          <w:right w:w="10" w:type="dxa"/>
        </w:tblCellMar>
        <w:tblLook w:val="0000" w:firstRow="0" w:lastRow="0" w:firstColumn="0" w:lastColumn="0" w:noHBand="0" w:noVBand="0"/>
      </w:tblPr>
      <w:tblGrid>
        <w:gridCol w:w="345"/>
        <w:gridCol w:w="1629"/>
        <w:gridCol w:w="7972"/>
      </w:tblGrid>
      <w:tr w:rsidR="005C49C9" w:rsidRPr="005C49C9" w14:paraId="691C4E34"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0C58"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LARC Procedures</w:t>
            </w:r>
          </w:p>
        </w:tc>
      </w:tr>
      <w:tr w:rsidR="005C49C9" w:rsidRPr="005C49C9" w14:paraId="3EF67434"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7DF1109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41703D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51.10, 51.22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B40EC"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This LARC was properly constituted.</w:t>
            </w:r>
          </w:p>
        </w:tc>
      </w:tr>
      <w:tr w:rsidR="005C49C9" w:rsidRPr="005C49C9" w14:paraId="0B42372F"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FD4B9E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EEC593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505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Candidate’s application is complete.</w:t>
            </w:r>
          </w:p>
        </w:tc>
      </w:tr>
      <w:tr w:rsidR="005C49C9" w:rsidRPr="005C49C9" w14:paraId="1CA3C28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64BB94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20EA86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FAE0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 was given 5 working days to resubmit if incomplete.</w:t>
            </w:r>
          </w:p>
        </w:tc>
      </w:tr>
      <w:tr w:rsidR="005C49C9" w:rsidRPr="005C49C9" w14:paraId="6BAA3547"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16B285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16F73CE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(c)</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8B66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Eligible members of the Sector were invited to submit their views in writing on the suitability of the application, when dossier complete.</w:t>
            </w:r>
          </w:p>
        </w:tc>
      </w:tr>
      <w:tr w:rsidR="005C49C9" w:rsidRPr="005C49C9" w14:paraId="78765038"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7BCAD6E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FA374B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(d)</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B89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 had 3 working days to see any additions to the dossier before meeting with the LARC.</w:t>
            </w:r>
          </w:p>
        </w:tc>
      </w:tr>
      <w:tr w:rsidR="005C49C9" w:rsidRPr="005C49C9" w14:paraId="0700F69B"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DF06C9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B833E5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(e)</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725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 was invited to a meeting to discuss contents of the dossier.</w:t>
            </w:r>
          </w:p>
        </w:tc>
      </w:tr>
      <w:tr w:rsidR="005C49C9" w:rsidRPr="005C49C9" w14:paraId="739E5A19"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4B0155F9"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D4C1E1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(e)</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BB3D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 chose to be present at the meeting.</w:t>
            </w:r>
          </w:p>
        </w:tc>
      </w:tr>
      <w:tr w:rsidR="005C49C9" w:rsidRPr="005C49C9" w14:paraId="4B88B354"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1CF376F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4328457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(e)</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CB3B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 xml:space="preserve">Candidate chose to be accompanied by an </w:t>
            </w:r>
            <w:proofErr w:type="gramStart"/>
            <w:r w:rsidRPr="005C49C9">
              <w:rPr>
                <w:rFonts w:ascii="Aptos" w:eastAsia="Arial" w:hAnsi="Aptos" w:cs="Tahoma"/>
                <w:kern w:val="16"/>
                <w:sz w:val="24"/>
                <w:szCs w:val="24"/>
                <w:lang w:val="en-CA"/>
                <w14:ligatures w14:val="none"/>
              </w:rPr>
              <w:t>Employee</w:t>
            </w:r>
            <w:proofErr w:type="gramEnd"/>
            <w:r w:rsidRPr="005C49C9">
              <w:rPr>
                <w:rFonts w:ascii="Aptos" w:eastAsia="Arial" w:hAnsi="Aptos" w:cs="Tahoma"/>
                <w:kern w:val="16"/>
                <w:sz w:val="24"/>
                <w:szCs w:val="24"/>
                <w:lang w:val="en-CA"/>
                <w14:ligatures w14:val="none"/>
              </w:rPr>
              <w:t xml:space="preserve"> advocate.</w:t>
            </w:r>
          </w:p>
        </w:tc>
      </w:tr>
      <w:tr w:rsidR="005C49C9" w:rsidRPr="005C49C9" w14:paraId="766665FB"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6546A9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F8B05B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(f)</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720E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 was given the opportunity to respond to concerns about the dossier.</w:t>
            </w:r>
          </w:p>
        </w:tc>
      </w:tr>
      <w:tr w:rsidR="005C49C9" w:rsidRPr="005C49C9" w14:paraId="4AF7E318"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163382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66D443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(e)</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E15D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considered its decisions in camera.</w:t>
            </w:r>
          </w:p>
        </w:tc>
      </w:tr>
      <w:tr w:rsidR="005C49C9" w:rsidRPr="005C49C9" w14:paraId="19C00AAD"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2CFE65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1CC44A2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(a)</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EB7D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rendered its decision without considering anonymous material, as defined in Article 1.05.</w:t>
            </w:r>
          </w:p>
        </w:tc>
      </w:tr>
      <w:tr w:rsidR="005C49C9" w:rsidRPr="005C49C9" w14:paraId="70F24B50"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7766589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C60F56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51.24</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C0A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considered only material within the candidate’s dossier (including that added by 51.22) when rendering its decision.</w:t>
            </w:r>
          </w:p>
        </w:tc>
      </w:tr>
      <w:tr w:rsidR="005C49C9" w:rsidRPr="005C49C9" w14:paraId="7427862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1A401FF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9163F5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51.22 (g)</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977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based its decision on the contents of the candidate’s dossier and the terms and conditions of the Collective Agreement.</w:t>
            </w:r>
          </w:p>
        </w:tc>
      </w:tr>
      <w:tr w:rsidR="005C49C9" w:rsidRPr="005C49C9" w14:paraId="5C4A59F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B532CF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0EFBCD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51.25</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C732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decided its decision by simple majority.</w:t>
            </w:r>
          </w:p>
        </w:tc>
      </w:tr>
      <w:tr w:rsidR="005C49C9" w:rsidRPr="005C49C9" w14:paraId="0C40ECC6"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B6B090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4445AA9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51.26</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DE9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sent an initial Decision Letter (DL) to the candidate at least 5 working days before LARC forwarded it decision to the URC.</w:t>
            </w:r>
          </w:p>
        </w:tc>
      </w:tr>
      <w:tr w:rsidR="005C49C9" w:rsidRPr="005C49C9" w14:paraId="03809B4F"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31C817F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44BFC6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51.26</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D28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Initial DL recorded the LARC’s decision and summarized views expressed by members of LARC both for and against the decision.</w:t>
            </w:r>
          </w:p>
        </w:tc>
      </w:tr>
      <w:tr w:rsidR="005C49C9" w:rsidRPr="005C49C9" w14:paraId="0EFE728D"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77D2D3A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E0DAE9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51.26</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FAE4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Candidate had 5 working days to reply to the initial DL to correct errors of fact before LARC forwarded its decision to URC.</w:t>
            </w:r>
          </w:p>
        </w:tc>
      </w:tr>
      <w:tr w:rsidR="005C49C9" w:rsidRPr="005C49C9" w14:paraId="5ED9BC28"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27D560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D59227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51.26</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C926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 xml:space="preserve">LARC revised the DL, if necessary, before forwarding to URC. </w:t>
            </w:r>
          </w:p>
        </w:tc>
      </w:tr>
      <w:tr w:rsidR="005C49C9" w:rsidRPr="005C49C9" w14:paraId="791AA22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214279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A3FBCA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51.26</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07C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copied its DL to the candidate.</w:t>
            </w:r>
          </w:p>
        </w:tc>
      </w:tr>
      <w:tr w:rsidR="005C49C9" w:rsidRPr="005C49C9" w14:paraId="7B7F59D2"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DCC662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6A21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51.26</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4CBE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Arial" w:hAnsi="Aptos" w:cs="Tahoma"/>
                <w:kern w:val="16"/>
                <w:sz w:val="24"/>
                <w:szCs w:val="24"/>
                <w:lang w:val="en-CA"/>
                <w14:ligatures w14:val="none"/>
              </w:rPr>
              <w:t>LARC advised candidate of their right to write to the URC at this time.</w:t>
            </w:r>
          </w:p>
        </w:tc>
      </w:tr>
      <w:tr w:rsidR="005C49C9" w:rsidRPr="005C49C9" w14:paraId="759B5A2C"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5C59F"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Responsibilities to URC</w:t>
            </w:r>
          </w:p>
        </w:tc>
      </w:tr>
      <w:tr w:rsidR="005C49C9" w:rsidRPr="005C49C9" w14:paraId="0E44CC00"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3DF3C0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60E9DB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12.31</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CEF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DL</w:t>
            </w:r>
            <w:r w:rsidRPr="005C49C9">
              <w:rPr>
                <w:rFonts w:ascii="Aptos" w:eastAsia="Calibri" w:hAnsi="Aptos" w:cs="Calibri"/>
                <w:strike/>
                <w:kern w:val="0"/>
                <w:sz w:val="24"/>
                <w:szCs w:val="24"/>
                <w:lang w:val="en-CA"/>
                <w14:ligatures w14:val="none"/>
              </w:rPr>
              <w:t>R</w:t>
            </w:r>
            <w:r w:rsidRPr="005C49C9">
              <w:rPr>
                <w:rFonts w:ascii="Aptos" w:eastAsia="Calibri" w:hAnsi="Aptos" w:cs="Calibri"/>
                <w:kern w:val="0"/>
                <w:sz w:val="24"/>
                <w:szCs w:val="24"/>
                <w:lang w:val="en-CA"/>
                <w14:ligatures w14:val="none"/>
              </w:rPr>
              <w:t xml:space="preserve"> demonstrates LARC’s decisions adhere to criteria and qualification of 59.80 and 59.90.</w:t>
            </w:r>
          </w:p>
        </w:tc>
      </w:tr>
      <w:tr w:rsidR="005C49C9" w:rsidRPr="005C49C9" w14:paraId="4A0947C3"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052CFA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3F40CB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12.31</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597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DL</w:t>
            </w:r>
            <w:r w:rsidRPr="005C49C9">
              <w:rPr>
                <w:rFonts w:ascii="Aptos" w:eastAsia="Calibri" w:hAnsi="Aptos" w:cs="Calibri"/>
                <w:strike/>
                <w:kern w:val="0"/>
                <w:sz w:val="24"/>
                <w:szCs w:val="24"/>
                <w:lang w:val="en-CA"/>
                <w14:ligatures w14:val="none"/>
              </w:rPr>
              <w:t>R</w:t>
            </w:r>
            <w:r w:rsidRPr="005C49C9">
              <w:rPr>
                <w:rFonts w:ascii="Aptos" w:eastAsia="Calibri" w:hAnsi="Aptos" w:cs="Calibri"/>
                <w:kern w:val="0"/>
                <w:sz w:val="24"/>
                <w:szCs w:val="24"/>
                <w:lang w:val="en-CA"/>
                <w14:ligatures w14:val="none"/>
              </w:rPr>
              <w:t xml:space="preserve"> provides information sufficient for considerations of URC in 12.42 (b) (i) and 12.43 (b).</w:t>
            </w:r>
          </w:p>
        </w:tc>
      </w:tr>
      <w:tr w:rsidR="005C49C9" w:rsidRPr="005C49C9" w14:paraId="0CB5F3D1"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112D34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A3F9FDC"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51.27</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491B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Secretary of the LARC forwarded minutes of its meetings and the candidate’s dossier and the signed LARC procedure form to the Chair of the URC.</w:t>
            </w:r>
          </w:p>
        </w:tc>
      </w:tr>
      <w:tr w:rsidR="005C49C9" w:rsidRPr="005C49C9" w14:paraId="215CA319"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5B76"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Checklist A: Candidate’s Dossier</w:t>
            </w:r>
          </w:p>
        </w:tc>
      </w:tr>
      <w:tr w:rsidR="005C49C9" w:rsidRPr="005C49C9" w14:paraId="5698BC6D"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79E9B8C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16622A5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(f)</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390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Dossier is provided in pdf or MS Word document.</w:t>
            </w:r>
          </w:p>
        </w:tc>
      </w:tr>
      <w:tr w:rsidR="005C49C9" w:rsidRPr="005C49C9" w14:paraId="71C2996E"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3C81773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4DC8509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(f)</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8FDF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a table of contents listing every document in dossier with unique index code.</w:t>
            </w:r>
          </w:p>
        </w:tc>
      </w:tr>
      <w:tr w:rsidR="005C49C9" w:rsidRPr="005C49C9" w14:paraId="707F73F0"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1850879"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7A2D90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(a)</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ED6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CV that conforms with Article 51, Appendix 51.2.</w:t>
            </w:r>
          </w:p>
        </w:tc>
      </w:tr>
      <w:tr w:rsidR="005C49C9" w:rsidRPr="005C49C9" w14:paraId="4AEF7398"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48FB12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78B0B0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3667C"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a copy of Letter of Appointment.</w:t>
            </w:r>
          </w:p>
        </w:tc>
      </w:tr>
      <w:tr w:rsidR="005C49C9" w:rsidRPr="005C49C9" w14:paraId="49104744"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F32722C"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D52E7A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2AE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any other letters relating to candidate’s responsibilities.</w:t>
            </w:r>
          </w:p>
        </w:tc>
      </w:tr>
      <w:tr w:rsidR="005C49C9" w:rsidRPr="005C49C9" w14:paraId="3AF38842"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108ADEC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A90974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(c)</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B69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an appropriate covering letter.</w:t>
            </w:r>
          </w:p>
        </w:tc>
      </w:tr>
      <w:tr w:rsidR="005C49C9" w:rsidRPr="005C49C9" w14:paraId="2641AC5A"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BBF0C9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5B51E02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(d)</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25D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Career Development correspondence since initial appointment or last promotion.</w:t>
            </w:r>
          </w:p>
        </w:tc>
      </w:tr>
      <w:tr w:rsidR="005C49C9" w:rsidRPr="005C49C9" w14:paraId="027373A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407DC20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38A3FE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(d)</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FF7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Career Development records since initial appointment or last promotion.</w:t>
            </w:r>
          </w:p>
        </w:tc>
      </w:tr>
      <w:tr w:rsidR="005C49C9" w:rsidRPr="005C49C9" w14:paraId="2FB496D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2293A5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22B0FA6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(d)</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3DCA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a copy or copies of Sabbatical reports since initial appointment or last promotion.</w:t>
            </w:r>
          </w:p>
        </w:tc>
      </w:tr>
      <w:tr w:rsidR="005C49C9" w:rsidRPr="005C49C9" w14:paraId="4BE986E8"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3E0C459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7D5CF19"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(e)</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6E2D9"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dossier includes other material deemed pertinent by the candidate.</w:t>
            </w:r>
          </w:p>
        </w:tc>
      </w:tr>
      <w:tr w:rsidR="005C49C9" w:rsidRPr="005C49C9" w14:paraId="005CDF3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8E9579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AD1DF2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(f)</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A7D7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Contents of dossier were confirmed by candidate and Chair of LARC.</w:t>
            </w:r>
          </w:p>
        </w:tc>
      </w:tr>
      <w:tr w:rsidR="005C49C9" w:rsidRPr="005C49C9" w14:paraId="0896B36A"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5ECA47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26E2E6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51.03 (f)</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68D4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Electronic copies of the dossier were submitted to the Secretary of the URC.</w:t>
            </w:r>
          </w:p>
        </w:tc>
      </w:tr>
      <w:tr w:rsidR="005C49C9" w:rsidRPr="005C49C9" w14:paraId="4009C2C5"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D9C16"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Checklist B: Criteria for Continuing Appointment and Promotion</w:t>
            </w:r>
          </w:p>
        </w:tc>
      </w:tr>
      <w:tr w:rsidR="005C49C9" w:rsidRPr="005C49C9" w14:paraId="449C3780"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181E40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F166A1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59.80</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C40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LARC makes its decision based on the criteria for continuing appointment and promotion established by Article 59.80.</w:t>
            </w:r>
          </w:p>
        </w:tc>
      </w:tr>
      <w:tr w:rsidR="005C49C9" w:rsidRPr="005C49C9" w14:paraId="2100DD64"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3809FAD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1EA20E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59.83</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CA98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 xml:space="preserve">The 4 criteria for assessment were academic qualifications, performance as </w:t>
            </w:r>
            <w:proofErr w:type="gramStart"/>
            <w:r w:rsidRPr="005C49C9">
              <w:rPr>
                <w:rFonts w:ascii="Aptos" w:eastAsia="Calibri" w:hAnsi="Aptos" w:cs="Calibri"/>
                <w:kern w:val="0"/>
                <w:sz w:val="24"/>
                <w:szCs w:val="24"/>
                <w:lang w:val="en-CA"/>
                <w14:ligatures w14:val="none"/>
              </w:rPr>
              <w:t>a</w:t>
            </w:r>
            <w:r w:rsidRPr="005C49C9">
              <w:rPr>
                <w:rFonts w:ascii="Aptos" w:eastAsia="Calibri" w:hAnsi="Aptos" w:cs="Calibri"/>
                <w:strike/>
                <w:kern w:val="0"/>
                <w:sz w:val="24"/>
                <w:szCs w:val="24"/>
                <w:lang w:val="en-CA"/>
                <w14:ligatures w14:val="none"/>
              </w:rPr>
              <w:t>n</w:t>
            </w:r>
            <w:proofErr w:type="gramEnd"/>
            <w:r w:rsidRPr="005C49C9">
              <w:rPr>
                <w:rFonts w:ascii="Aptos" w:eastAsia="Calibri" w:hAnsi="Aptos" w:cs="Calibri"/>
                <w:kern w:val="0"/>
                <w:sz w:val="24"/>
                <w:szCs w:val="24"/>
                <w:lang w:val="en-CA"/>
                <w14:ligatures w14:val="none"/>
              </w:rPr>
              <w:t xml:space="preserve"> Curator, scholarly activity, and service.</w:t>
            </w:r>
          </w:p>
        </w:tc>
      </w:tr>
      <w:tr w:rsidR="005C49C9" w:rsidRPr="005C49C9" w14:paraId="025EF83D"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3939F90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013682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59.83</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E3A4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All factors are present to some degree in the candidate’s application.</w:t>
            </w:r>
          </w:p>
        </w:tc>
      </w:tr>
      <w:tr w:rsidR="005C49C9" w:rsidRPr="005C49C9" w14:paraId="322EC04F"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1065E4A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0013CD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59.83 (a)</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EE6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Candidate’s dossier provided evidence of possession of a Master of Museum Studies or its equivalent.</w:t>
            </w:r>
          </w:p>
        </w:tc>
      </w:tr>
      <w:tr w:rsidR="005C49C9" w:rsidRPr="005C49C9" w14:paraId="7D7DC8BE"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469456D6"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43D43C2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59.83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4EAB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Performance was evaluated in areas of performance as a Curator, scholarly activity, and service, irrespective of time in rank.</w:t>
            </w:r>
          </w:p>
        </w:tc>
      </w:tr>
      <w:tr w:rsidR="005C49C9" w:rsidRPr="005C49C9" w14:paraId="3FD74E1A"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5D8B25C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E35D7D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59.83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6B0B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Performance was evaluated in relation to the annual Career Development meetings as a primary source of information in assessing evidence of qualifications.</w:t>
            </w:r>
          </w:p>
        </w:tc>
      </w:tr>
      <w:tr w:rsidR="005C49C9" w:rsidRPr="005C49C9" w14:paraId="3F570179"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41DC168F"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A40F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59.83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C305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Performance was evaluated in relation to other materials provided under Article 51.03.</w:t>
            </w:r>
          </w:p>
        </w:tc>
      </w:tr>
      <w:tr w:rsidR="005C49C9" w:rsidRPr="005C49C9" w14:paraId="4525B6FF"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05B92"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Checklist C: Qualifications for Continuing Appointment and Promotion</w:t>
            </w:r>
          </w:p>
        </w:tc>
      </w:tr>
      <w:tr w:rsidR="005C49C9" w:rsidRPr="005C49C9" w14:paraId="7D19EF15"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A2F00"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Continuing Appointment</w:t>
            </w:r>
          </w:p>
        </w:tc>
      </w:tr>
      <w:tr w:rsidR="005C49C9" w:rsidRPr="005C49C9" w14:paraId="2602684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6F601E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6B3A56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59.92 (a)</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D39E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possession of a Master of Museum Studies or equivalent (see 59.83 (a)).</w:t>
            </w:r>
          </w:p>
        </w:tc>
      </w:tr>
      <w:tr w:rsidR="005C49C9" w:rsidRPr="005C49C9" w14:paraId="35D00D93"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4567F33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FEB5DE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59.92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37BC"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 xml:space="preserve">The candidate has demonstrated evidence of satisfactory performance as </w:t>
            </w:r>
            <w:proofErr w:type="gramStart"/>
            <w:r w:rsidRPr="005C49C9">
              <w:rPr>
                <w:rFonts w:ascii="Aptos" w:eastAsia="Calibri" w:hAnsi="Aptos" w:cs="Calibri"/>
                <w:kern w:val="0"/>
                <w:sz w:val="24"/>
                <w:szCs w:val="24"/>
                <w:lang w:val="en-CA"/>
                <w14:ligatures w14:val="none"/>
              </w:rPr>
              <w:t>a</w:t>
            </w:r>
            <w:r w:rsidRPr="005C49C9">
              <w:rPr>
                <w:rFonts w:ascii="Aptos" w:eastAsia="Calibri" w:hAnsi="Aptos" w:cs="Calibri"/>
                <w:strike/>
                <w:kern w:val="0"/>
                <w:sz w:val="24"/>
                <w:szCs w:val="24"/>
                <w:lang w:val="en-CA"/>
                <w14:ligatures w14:val="none"/>
              </w:rPr>
              <w:t>n</w:t>
            </w:r>
            <w:proofErr w:type="gramEnd"/>
            <w:r w:rsidRPr="005C49C9">
              <w:rPr>
                <w:rFonts w:ascii="Aptos" w:eastAsia="Calibri" w:hAnsi="Aptos" w:cs="Calibri"/>
                <w:kern w:val="0"/>
                <w:sz w:val="24"/>
                <w:szCs w:val="24"/>
                <w:lang w:val="en-CA"/>
                <w14:ligatures w14:val="none"/>
              </w:rPr>
              <w:t xml:space="preserve"> Curator.</w:t>
            </w:r>
          </w:p>
        </w:tc>
      </w:tr>
      <w:tr w:rsidR="005C49C9" w:rsidRPr="005C49C9" w14:paraId="09C5F887"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9A597EC"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0C1F23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59.92 (c)</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9AF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involvement in scholarly activity.</w:t>
            </w:r>
          </w:p>
        </w:tc>
      </w:tr>
      <w:tr w:rsidR="005C49C9" w:rsidRPr="005C49C9" w14:paraId="353905E0"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ADC18E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38B32E4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59.92 (d)</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3383"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participation in activities that contribute to the functioning of the University.</w:t>
            </w:r>
          </w:p>
        </w:tc>
      </w:tr>
      <w:tr w:rsidR="005C49C9" w:rsidRPr="005C49C9" w14:paraId="7D1BB235"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41AF"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Promotion to Curator III</w:t>
            </w:r>
          </w:p>
        </w:tc>
      </w:tr>
      <w:tr w:rsidR="005C49C9" w:rsidRPr="005C49C9" w14:paraId="15CAFFE1"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A90A11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09803FA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59.95</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C24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a record of accomplishment.</w:t>
            </w:r>
          </w:p>
        </w:tc>
      </w:tr>
      <w:tr w:rsidR="005C49C9" w:rsidRPr="005C49C9" w14:paraId="6307328B"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7C7054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1923150B"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59.95 (a)</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181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a positive record of performance as a Curator.</w:t>
            </w:r>
          </w:p>
        </w:tc>
      </w:tr>
      <w:tr w:rsidR="005C49C9" w:rsidRPr="005C49C9" w14:paraId="142A3F46"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262AEDC4"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57F047E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59.95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4332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accomplishment in the profession or a relevant academic discipline related to their work to be demonstrated by scholarly or professional activity.</w:t>
            </w:r>
          </w:p>
        </w:tc>
      </w:tr>
      <w:tr w:rsidR="005C49C9" w:rsidRPr="005C49C9" w14:paraId="00B9A68C"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33CA2271"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C9823DD"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59.95 (c)</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4B4D2"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service to the University and academic community, the profession and/or the community.</w:t>
            </w:r>
          </w:p>
        </w:tc>
      </w:tr>
      <w:tr w:rsidR="005C49C9" w:rsidRPr="005C49C9" w14:paraId="7183E086" w14:textId="77777777" w:rsidTr="005B3942">
        <w:tc>
          <w:tcPr>
            <w:tcW w:w="9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6FC8F" w14:textId="77777777" w:rsidR="005C49C9" w:rsidRPr="005C49C9" w:rsidRDefault="005C49C9" w:rsidP="005C49C9">
            <w:pPr>
              <w:snapToGrid w:val="0"/>
              <w:spacing w:after="0" w:line="240" w:lineRule="auto"/>
              <w:jc w:val="center"/>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Promotion to Curator IV</w:t>
            </w:r>
          </w:p>
        </w:tc>
      </w:tr>
      <w:tr w:rsidR="005C49C9" w:rsidRPr="005C49C9" w14:paraId="79B75A9A"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6B4973A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7BE7D5EA"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59.96 (a)</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6E0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a high record of performance as a Curator.</w:t>
            </w:r>
          </w:p>
        </w:tc>
      </w:tr>
      <w:tr w:rsidR="005C49C9" w:rsidRPr="005C49C9" w14:paraId="6AB66162"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0A1BCD4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679E8557"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59.96 (b)</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E3A10"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by scholarly or professional activity, evidence of significant contributions to the profession or a relevant academic discipline to their work.</w:t>
            </w:r>
          </w:p>
        </w:tc>
      </w:tr>
      <w:tr w:rsidR="005C49C9" w:rsidRPr="005C49C9" w14:paraId="3A5AB466" w14:textId="77777777" w:rsidTr="005B3942">
        <w:tc>
          <w:tcPr>
            <w:tcW w:w="345" w:type="dxa"/>
            <w:tcBorders>
              <w:top w:val="single" w:sz="4" w:space="0" w:color="000000"/>
              <w:left w:val="single" w:sz="4" w:space="0" w:color="000000"/>
              <w:bottom w:val="single" w:sz="4" w:space="0" w:color="000000"/>
            </w:tcBorders>
            <w:tcMar>
              <w:top w:w="0" w:type="dxa"/>
              <w:left w:w="108" w:type="dxa"/>
              <w:bottom w:w="0" w:type="dxa"/>
              <w:right w:w="108" w:type="dxa"/>
            </w:tcMar>
          </w:tcPr>
          <w:p w14:paraId="71C2EA2E"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p>
        </w:tc>
        <w:tc>
          <w:tcPr>
            <w:tcW w:w="1629" w:type="dxa"/>
            <w:tcBorders>
              <w:top w:val="single" w:sz="4" w:space="0" w:color="000000"/>
              <w:left w:val="single" w:sz="4" w:space="0" w:color="000000"/>
              <w:bottom w:val="single" w:sz="4" w:space="0" w:color="000000"/>
            </w:tcBorders>
            <w:tcMar>
              <w:top w:w="0" w:type="dxa"/>
              <w:left w:w="108" w:type="dxa"/>
              <w:bottom w:w="0" w:type="dxa"/>
              <w:right w:w="108" w:type="dxa"/>
            </w:tcMar>
          </w:tcPr>
          <w:p w14:paraId="5D9ED108"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59.96 (c)</w:t>
            </w:r>
          </w:p>
        </w:tc>
        <w:tc>
          <w:tcPr>
            <w:tcW w:w="7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1685" w14:textId="77777777" w:rsidR="005C49C9" w:rsidRPr="005C49C9" w:rsidRDefault="005C49C9" w:rsidP="005C49C9">
            <w:pPr>
              <w:snapToGrid w:val="0"/>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The candidate has demonstrated evidence of service to the University and academic community and/or the profession and/or the community, such as contributions of leadership and innovation involving decisions and policies that have had a major beneficial influence.</w:t>
            </w:r>
          </w:p>
        </w:tc>
      </w:tr>
    </w:tbl>
    <w:p w14:paraId="44C77CDA"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p>
    <w:p w14:paraId="340DA232"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In accordance with Articles 12.22 (b) and 12.27, I hereby submit the completed LARC Procedure Form:</w:t>
      </w:r>
    </w:p>
    <w:p w14:paraId="0A141A54" w14:textId="77777777" w:rsidR="005C49C9" w:rsidRPr="005C49C9" w:rsidRDefault="005C49C9" w:rsidP="005C49C9">
      <w:pPr>
        <w:spacing w:after="0" w:line="240" w:lineRule="auto"/>
        <w:rPr>
          <w:rFonts w:ascii="Aptos" w:eastAsia="Calibri" w:hAnsi="Aptos" w:cs="Calibri"/>
          <w:kern w:val="0"/>
          <w:sz w:val="24"/>
          <w:szCs w:val="24"/>
          <w:lang w:val="en-CA"/>
          <w14:ligatures w14:val="none"/>
        </w:rPr>
      </w:pPr>
    </w:p>
    <w:p w14:paraId="4042CAE7" w14:textId="77777777" w:rsidR="005C49C9" w:rsidRPr="005C49C9" w:rsidRDefault="005C49C9" w:rsidP="005C49C9">
      <w:pPr>
        <w:tabs>
          <w:tab w:val="left" w:pos="144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Dated:</w:t>
      </w:r>
      <w:r w:rsidRPr="005C49C9">
        <w:rPr>
          <w:rFonts w:ascii="Aptos" w:eastAsia="Calibri" w:hAnsi="Aptos" w:cs="Calibri"/>
          <w:kern w:val="0"/>
          <w:sz w:val="24"/>
          <w:szCs w:val="24"/>
          <w:lang w:val="en-CA"/>
          <w14:ligatures w14:val="none"/>
        </w:rPr>
        <w:tab/>
        <w:t>___________________________________________________________</w:t>
      </w:r>
    </w:p>
    <w:p w14:paraId="5D6ED735" w14:textId="77777777" w:rsidR="005C49C9" w:rsidRPr="005C49C9" w:rsidRDefault="005C49C9" w:rsidP="005C49C9">
      <w:pPr>
        <w:spacing w:after="0" w:line="240" w:lineRule="auto"/>
        <w:ind w:left="2835" w:hanging="2835"/>
        <w:outlineLvl w:val="0"/>
        <w:rPr>
          <w:rFonts w:ascii="Aptos" w:eastAsia="Calibri" w:hAnsi="Aptos" w:cs="Calibri"/>
          <w:kern w:val="0"/>
          <w:sz w:val="24"/>
          <w:szCs w:val="24"/>
          <w:lang w:val="en-CA"/>
          <w14:ligatures w14:val="none"/>
        </w:rPr>
      </w:pPr>
    </w:p>
    <w:p w14:paraId="0042FD8D" w14:textId="77777777" w:rsidR="005C49C9" w:rsidRPr="005C49C9" w:rsidRDefault="005C49C9" w:rsidP="005C49C9">
      <w:pPr>
        <w:tabs>
          <w:tab w:val="left" w:pos="144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Signed:</w:t>
      </w:r>
      <w:r w:rsidRPr="005C49C9">
        <w:rPr>
          <w:rFonts w:ascii="Aptos" w:eastAsia="Calibri" w:hAnsi="Aptos" w:cs="Calibri"/>
          <w:kern w:val="0"/>
          <w:sz w:val="24"/>
          <w:szCs w:val="24"/>
          <w:lang w:val="en-CA"/>
          <w14:ligatures w14:val="none"/>
        </w:rPr>
        <w:tab/>
        <w:t>___________________________________________________________</w:t>
      </w:r>
    </w:p>
    <w:p w14:paraId="2505AFEA" w14:textId="77777777" w:rsidR="005C49C9" w:rsidRPr="005C49C9" w:rsidRDefault="005C49C9" w:rsidP="005C49C9">
      <w:pPr>
        <w:tabs>
          <w:tab w:val="left" w:pos="1440"/>
        </w:tabs>
        <w:spacing w:after="0" w:line="240" w:lineRule="auto"/>
        <w:rPr>
          <w:rFonts w:ascii="Aptos" w:eastAsia="Calibri" w:hAnsi="Aptos" w:cs="Calibri"/>
          <w:kern w:val="0"/>
          <w:sz w:val="24"/>
          <w:szCs w:val="24"/>
          <w:lang w:val="en-CA"/>
          <w14:ligatures w14:val="none"/>
        </w:rPr>
      </w:pPr>
      <w:r w:rsidRPr="005C49C9">
        <w:rPr>
          <w:rFonts w:ascii="Aptos" w:eastAsia="Calibri" w:hAnsi="Aptos" w:cs="Calibri"/>
          <w:kern w:val="0"/>
          <w:sz w:val="24"/>
          <w:szCs w:val="24"/>
          <w:lang w:val="en-CA"/>
          <w14:ligatures w14:val="none"/>
        </w:rPr>
        <w:tab/>
        <w:t>Secretary of the LARC</w:t>
      </w:r>
    </w:p>
    <w:p w14:paraId="0F3BD1A8" w14:textId="70FF55C7" w:rsidR="004049CE" w:rsidRPr="005C49C9" w:rsidRDefault="004049CE" w:rsidP="005C49C9">
      <w:pPr>
        <w:spacing w:after="0" w:line="240" w:lineRule="auto"/>
        <w:rPr>
          <w:rFonts w:ascii="Aptos" w:eastAsia="Calibri" w:hAnsi="Aptos" w:cs="Calibri"/>
          <w:b/>
          <w:strike/>
          <w:kern w:val="0"/>
          <w:sz w:val="24"/>
          <w:szCs w:val="24"/>
          <w:lang w:val="en-US"/>
          <w14:ligatures w14:val="none"/>
        </w:rPr>
      </w:pPr>
    </w:p>
    <w:sectPr w:rsidR="004049CE" w:rsidRPr="005C49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C9"/>
    <w:rsid w:val="004049CE"/>
    <w:rsid w:val="00450ED6"/>
    <w:rsid w:val="00534A81"/>
    <w:rsid w:val="005C49C9"/>
    <w:rsid w:val="006D5A1C"/>
    <w:rsid w:val="00875B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32CE"/>
  <w15:chartTrackingRefBased/>
  <w15:docId w15:val="{5E4D89FF-CDB7-4DEE-AC3E-D939F8DE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9C9"/>
    <w:rPr>
      <w:rFonts w:eastAsiaTheme="majorEastAsia" w:cstheme="majorBidi"/>
      <w:color w:val="272727" w:themeColor="text1" w:themeTint="D8"/>
    </w:rPr>
  </w:style>
  <w:style w:type="paragraph" w:styleId="Title">
    <w:name w:val="Title"/>
    <w:basedOn w:val="Normal"/>
    <w:next w:val="Normal"/>
    <w:link w:val="TitleChar"/>
    <w:uiPriority w:val="10"/>
    <w:qFormat/>
    <w:rsid w:val="005C4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9C9"/>
    <w:pPr>
      <w:spacing w:before="160"/>
      <w:jc w:val="center"/>
    </w:pPr>
    <w:rPr>
      <w:i/>
      <w:iCs/>
      <w:color w:val="404040" w:themeColor="text1" w:themeTint="BF"/>
    </w:rPr>
  </w:style>
  <w:style w:type="character" w:customStyle="1" w:styleId="QuoteChar">
    <w:name w:val="Quote Char"/>
    <w:basedOn w:val="DefaultParagraphFont"/>
    <w:link w:val="Quote"/>
    <w:uiPriority w:val="29"/>
    <w:rsid w:val="005C49C9"/>
    <w:rPr>
      <w:i/>
      <w:iCs/>
      <w:color w:val="404040" w:themeColor="text1" w:themeTint="BF"/>
    </w:rPr>
  </w:style>
  <w:style w:type="paragraph" w:styleId="ListParagraph">
    <w:name w:val="List Paragraph"/>
    <w:basedOn w:val="Normal"/>
    <w:uiPriority w:val="34"/>
    <w:qFormat/>
    <w:rsid w:val="005C49C9"/>
    <w:pPr>
      <w:ind w:left="720"/>
      <w:contextualSpacing/>
    </w:pPr>
  </w:style>
  <w:style w:type="character" w:styleId="IntenseEmphasis">
    <w:name w:val="Intense Emphasis"/>
    <w:basedOn w:val="DefaultParagraphFont"/>
    <w:uiPriority w:val="21"/>
    <w:qFormat/>
    <w:rsid w:val="005C49C9"/>
    <w:rPr>
      <w:i/>
      <w:iCs/>
      <w:color w:val="0F4761" w:themeColor="accent1" w:themeShade="BF"/>
    </w:rPr>
  </w:style>
  <w:style w:type="paragraph" w:styleId="IntenseQuote">
    <w:name w:val="Intense Quote"/>
    <w:basedOn w:val="Normal"/>
    <w:next w:val="Normal"/>
    <w:link w:val="IntenseQuoteChar"/>
    <w:uiPriority w:val="30"/>
    <w:qFormat/>
    <w:rsid w:val="005C4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9C9"/>
    <w:rPr>
      <w:i/>
      <w:iCs/>
      <w:color w:val="0F4761" w:themeColor="accent1" w:themeShade="BF"/>
    </w:rPr>
  </w:style>
  <w:style w:type="character" w:styleId="IntenseReference">
    <w:name w:val="Intense Reference"/>
    <w:basedOn w:val="DefaultParagraphFont"/>
    <w:uiPriority w:val="32"/>
    <w:qFormat/>
    <w:rsid w:val="005C49C9"/>
    <w:rPr>
      <w:b/>
      <w:bCs/>
      <w:smallCaps/>
      <w:color w:val="0F4761" w:themeColor="accent1" w:themeShade="BF"/>
      <w:spacing w:val="5"/>
    </w:rPr>
  </w:style>
  <w:style w:type="table" w:customStyle="1" w:styleId="TableGrid1">
    <w:name w:val="Table Grid1"/>
    <w:basedOn w:val="TableNormal"/>
    <w:next w:val="TableGrid"/>
    <w:uiPriority w:val="39"/>
    <w:rsid w:val="005C49C9"/>
    <w:pPr>
      <w:spacing w:after="0" w:line="240" w:lineRule="auto"/>
    </w:pPr>
    <w:rPr>
      <w:rFonts w:ascii="Adobe Garamond Pro" w:hAnsi="Adobe Garamond Pro"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C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036D7-4EA4-449F-8024-A2D75BFDC220}"/>
</file>

<file path=customXml/itemProps2.xml><?xml version="1.0" encoding="utf-8"?>
<ds:datastoreItem xmlns:ds="http://schemas.openxmlformats.org/officeDocument/2006/customXml" ds:itemID="{D56ED8AE-8B7B-4F43-9693-271D0F674F5F}"/>
</file>

<file path=customXml/itemProps3.xml><?xml version="1.0" encoding="utf-8"?>
<ds:datastoreItem xmlns:ds="http://schemas.openxmlformats.org/officeDocument/2006/customXml" ds:itemID="{C37A6F84-BA80-4BB9-AD51-EE5B3B789A70}"/>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6708</Characters>
  <Application>Microsoft Office Word</Application>
  <DocSecurity>0</DocSecurity>
  <Lines>319</Lines>
  <Paragraphs>192</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1</cp:revision>
  <dcterms:created xsi:type="dcterms:W3CDTF">2025-10-10T01:27:00Z</dcterms:created>
  <dcterms:modified xsi:type="dcterms:W3CDTF">2025-10-10T01:33:00Z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